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0A70B" w14:textId="77777777" w:rsidR="00C7029F" w:rsidRPr="007337C6" w:rsidRDefault="00C7029F" w:rsidP="00C7029F">
      <w:pPr>
        <w:jc w:val="both"/>
        <w:rPr>
          <w:rFonts w:ascii="Trebuchet MS" w:hAnsi="Trebuchet MS"/>
          <w:b/>
        </w:rPr>
      </w:pPr>
    </w:p>
    <w:p w14:paraId="1DA54058" w14:textId="29F14FC8" w:rsidR="00C7029F" w:rsidRPr="007337C6" w:rsidRDefault="007F1A93" w:rsidP="00C7029F">
      <w:pPr>
        <w:jc w:val="both"/>
        <w:rPr>
          <w:rFonts w:ascii="Trebuchet MS" w:hAnsi="Trebuchet MS"/>
          <w:b/>
        </w:rPr>
      </w:pPr>
      <w:r w:rsidRPr="007337C6">
        <w:rPr>
          <w:rFonts w:ascii="Trebuchet MS" w:hAnsi="Trebuchet MS"/>
          <w:b/>
          <w:noProof/>
          <w:lang w:eastAsia="en-GB"/>
        </w:rPr>
        <w:drawing>
          <wp:anchor distT="0" distB="0" distL="114300" distR="114300" simplePos="0" relativeHeight="251663360" behindDoc="1" locked="0" layoutInCell="1" allowOverlap="1" wp14:anchorId="74F198F3" wp14:editId="7B6AA558">
            <wp:simplePos x="0" y="0"/>
            <wp:positionH relativeFrom="column">
              <wp:posOffset>-44450</wp:posOffset>
            </wp:positionH>
            <wp:positionV relativeFrom="paragraph">
              <wp:posOffset>260350</wp:posOffset>
            </wp:positionV>
            <wp:extent cx="2127250" cy="933450"/>
            <wp:effectExtent l="0" t="0" r="0" b="0"/>
            <wp:wrapNone/>
            <wp:docPr id="28" name="Picture 28" descr="AS_prim_cp"/>
            <wp:cNvGraphicFramePr/>
            <a:graphic xmlns:a="http://schemas.openxmlformats.org/drawingml/2006/main">
              <a:graphicData uri="http://schemas.openxmlformats.org/drawingml/2006/picture">
                <pic:pic xmlns:pic="http://schemas.openxmlformats.org/drawingml/2006/picture">
                  <pic:nvPicPr>
                    <pic:cNvPr id="80" name="Picture 9" descr="AS_prim_cp"/>
                    <pic:cNvPicPr>
                      <a:picLocks noChangeAspect="1" noChangeArrowheads="1"/>
                    </pic:cNvPicPr>
                  </pic:nvPicPr>
                  <pic:blipFill rotWithShape="1">
                    <a:blip r:embed="rId10" cstate="print"/>
                    <a:srcRect r="11046" b="20968"/>
                    <a:stretch/>
                  </pic:blipFill>
                  <pic:spPr bwMode="auto">
                    <a:xfrm>
                      <a:off x="0" y="0"/>
                      <a:ext cx="2127250" cy="933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7029F" w:rsidRPr="007337C6">
        <w:rPr>
          <w:rFonts w:ascii="Trebuchet MS" w:hAnsi="Trebuchet MS"/>
          <w:noProof/>
          <w:sz w:val="18"/>
          <w:lang w:eastAsia="en-GB"/>
        </w:rPr>
        <w:drawing>
          <wp:anchor distT="0" distB="0" distL="114300" distR="114300" simplePos="0" relativeHeight="251664384" behindDoc="1" locked="0" layoutInCell="1" allowOverlap="1" wp14:anchorId="56624EC9" wp14:editId="41088EF5">
            <wp:simplePos x="0" y="0"/>
            <wp:positionH relativeFrom="column">
              <wp:posOffset>-448310</wp:posOffset>
            </wp:positionH>
            <wp:positionV relativeFrom="paragraph">
              <wp:posOffset>-458470</wp:posOffset>
            </wp:positionV>
            <wp:extent cx="3503930" cy="756285"/>
            <wp:effectExtent l="0" t="0" r="1270" b="5715"/>
            <wp:wrapNone/>
            <wp:docPr id="24" name="Picture 24" descr="C:\Documents and Settings\richard.jackson\Desktop\Thread Corner Blue.jpg"/>
            <wp:cNvGraphicFramePr/>
            <a:graphic xmlns:a="http://schemas.openxmlformats.org/drawingml/2006/main">
              <a:graphicData uri="http://schemas.openxmlformats.org/drawingml/2006/picture">
                <pic:pic xmlns:pic="http://schemas.openxmlformats.org/drawingml/2006/picture">
                  <pic:nvPicPr>
                    <pic:cNvPr id="66" name="Picture 3" descr="C:\Documents and Settings\richard.jackson\Desktop\Thread Corner Blue.jpg"/>
                    <pic:cNvPicPr>
                      <a:picLocks noChangeAspect="1" noChangeArrowheads="1"/>
                    </pic:cNvPicPr>
                  </pic:nvPicPr>
                  <pic:blipFill>
                    <a:blip r:embed="rId11" cstate="print"/>
                    <a:srcRect/>
                    <a:stretch>
                      <a:fillRect/>
                    </a:stretch>
                  </pic:blipFill>
                  <pic:spPr bwMode="auto">
                    <a:xfrm>
                      <a:off x="0" y="0"/>
                      <a:ext cx="3503930" cy="756285"/>
                    </a:xfrm>
                    <a:prstGeom prst="rect">
                      <a:avLst/>
                    </a:prstGeom>
                    <a:noFill/>
                  </pic:spPr>
                </pic:pic>
              </a:graphicData>
            </a:graphic>
          </wp:anchor>
        </w:drawing>
      </w:r>
    </w:p>
    <w:p w14:paraId="67A2204C" w14:textId="77777777" w:rsidR="00C7029F" w:rsidRPr="007337C6" w:rsidRDefault="00C7029F" w:rsidP="00C7029F">
      <w:pPr>
        <w:jc w:val="both"/>
        <w:rPr>
          <w:rFonts w:ascii="Trebuchet MS" w:hAnsi="Trebuchet MS"/>
          <w:b/>
        </w:rPr>
      </w:pPr>
    </w:p>
    <w:p w14:paraId="51BDE384" w14:textId="77777777" w:rsidR="00C7029F" w:rsidRPr="007337C6" w:rsidRDefault="00C7029F" w:rsidP="00C7029F">
      <w:pPr>
        <w:ind w:left="2694"/>
        <w:jc w:val="both"/>
        <w:rPr>
          <w:rFonts w:ascii="Trebuchet MS" w:hAnsi="Trebuchet MS"/>
          <w:b/>
        </w:rPr>
      </w:pPr>
    </w:p>
    <w:p w14:paraId="7CCE2BF8" w14:textId="77777777" w:rsidR="00C7029F" w:rsidRPr="007337C6" w:rsidRDefault="00C7029F" w:rsidP="00C7029F">
      <w:pPr>
        <w:ind w:left="2694"/>
        <w:jc w:val="both"/>
        <w:rPr>
          <w:rFonts w:ascii="Trebuchet MS" w:hAnsi="Trebuchet MS"/>
          <w:b/>
        </w:rPr>
      </w:pPr>
    </w:p>
    <w:p w14:paraId="0C79D450" w14:textId="77777777" w:rsidR="00C7029F" w:rsidRPr="007337C6" w:rsidRDefault="00C7029F" w:rsidP="00C7029F">
      <w:pPr>
        <w:ind w:left="2694"/>
        <w:jc w:val="both"/>
        <w:rPr>
          <w:rFonts w:ascii="Trebuchet MS" w:hAnsi="Trebuchet MS"/>
          <w:b/>
        </w:rPr>
      </w:pPr>
    </w:p>
    <w:p w14:paraId="38D2C76C" w14:textId="369E83A8" w:rsidR="00C7029F" w:rsidRPr="007337C6" w:rsidRDefault="00C7029F" w:rsidP="00C7029F">
      <w:pPr>
        <w:spacing w:after="0"/>
        <w:ind w:left="2694"/>
        <w:jc w:val="both"/>
        <w:rPr>
          <w:rFonts w:ascii="Trebuchet MS" w:hAnsi="Trebuchet MS"/>
          <w:b/>
        </w:rPr>
      </w:pPr>
    </w:p>
    <w:p w14:paraId="7A2D983F" w14:textId="4236AF62" w:rsidR="0068564F" w:rsidRPr="007337C6" w:rsidRDefault="0068564F" w:rsidP="00C7029F">
      <w:pPr>
        <w:spacing w:after="0"/>
        <w:ind w:left="2694"/>
        <w:jc w:val="both"/>
        <w:rPr>
          <w:rFonts w:ascii="Trebuchet MS" w:hAnsi="Trebuchet MS"/>
          <w:b/>
        </w:rPr>
      </w:pPr>
    </w:p>
    <w:p w14:paraId="46F31E3D" w14:textId="77DBE99E" w:rsidR="0068564F" w:rsidRPr="007337C6" w:rsidRDefault="0068564F" w:rsidP="00C7029F">
      <w:pPr>
        <w:spacing w:after="0"/>
        <w:ind w:left="2694"/>
        <w:jc w:val="both"/>
        <w:rPr>
          <w:rFonts w:ascii="Trebuchet MS" w:hAnsi="Trebuchet MS"/>
          <w:b/>
        </w:rPr>
      </w:pPr>
    </w:p>
    <w:p w14:paraId="5053CD8C" w14:textId="3A0146EB" w:rsidR="0068564F" w:rsidRPr="007337C6" w:rsidRDefault="0068564F" w:rsidP="00C7029F">
      <w:pPr>
        <w:spacing w:after="0"/>
        <w:ind w:left="2694"/>
        <w:jc w:val="both"/>
        <w:rPr>
          <w:rFonts w:ascii="Trebuchet MS" w:hAnsi="Trebuchet MS"/>
          <w:b/>
        </w:rPr>
      </w:pPr>
    </w:p>
    <w:p w14:paraId="5E0A7970" w14:textId="77777777" w:rsidR="0068564F" w:rsidRPr="007337C6" w:rsidRDefault="0068564F" w:rsidP="00C7029F">
      <w:pPr>
        <w:spacing w:after="0"/>
        <w:ind w:left="2694"/>
        <w:jc w:val="both"/>
        <w:rPr>
          <w:rFonts w:ascii="Trebuchet MS" w:hAnsi="Trebuchet MS"/>
          <w:b/>
        </w:rPr>
      </w:pPr>
    </w:p>
    <w:p w14:paraId="09394338" w14:textId="77777777" w:rsidR="00C7029F" w:rsidRPr="007337C6" w:rsidRDefault="00C7029F" w:rsidP="00C7029F">
      <w:pPr>
        <w:spacing w:after="0"/>
        <w:ind w:left="2694"/>
        <w:jc w:val="both"/>
        <w:rPr>
          <w:rFonts w:ascii="Trebuchet MS" w:hAnsi="Trebuchet MS"/>
          <w:b/>
        </w:rPr>
      </w:pPr>
    </w:p>
    <w:p w14:paraId="74D46BAB" w14:textId="76F1D6D5" w:rsidR="00C7029F" w:rsidRPr="007337C6" w:rsidRDefault="009D457A" w:rsidP="00F523D0">
      <w:pPr>
        <w:spacing w:after="0"/>
        <w:ind w:left="567" w:right="849"/>
        <w:jc w:val="center"/>
        <w:rPr>
          <w:rFonts w:ascii="Trebuchet MS" w:hAnsi="Trebuchet MS"/>
          <w:b/>
          <w:color w:val="808080" w:themeColor="background1" w:themeShade="80"/>
          <w:sz w:val="48"/>
          <w:szCs w:val="48"/>
        </w:rPr>
      </w:pPr>
      <w:sdt>
        <w:sdtPr>
          <w:rPr>
            <w:rFonts w:ascii="Trebuchet MS" w:hAnsi="Trebuchet MS"/>
            <w:b/>
            <w:i/>
            <w:color w:val="808080" w:themeColor="background1" w:themeShade="80"/>
            <w:sz w:val="48"/>
            <w:szCs w:val="48"/>
          </w:rPr>
          <w:alias w:val="Title"/>
          <w:tag w:val=""/>
          <w:id w:val="-896972852"/>
          <w:placeholder>
            <w:docPart w:val="30245013348149EFA939FDA63AEF2452"/>
          </w:placeholder>
          <w:dataBinding w:prefixMappings="xmlns:ns0='http://purl.org/dc/elements/1.1/' xmlns:ns1='http://schemas.openxmlformats.org/package/2006/metadata/core-properties' " w:xpath="/ns1:coreProperties[1]/ns0:title[1]" w:storeItemID="{6C3C8BC8-F283-45AE-878A-BAB7291924A1}"/>
          <w:text/>
        </w:sdtPr>
        <w:sdtEndPr/>
        <w:sdtContent>
          <w:r w:rsidR="00036D05" w:rsidRPr="007337C6">
            <w:rPr>
              <w:rFonts w:ascii="Trebuchet MS" w:hAnsi="Trebuchet MS"/>
              <w:b/>
              <w:i/>
              <w:color w:val="808080" w:themeColor="background1" w:themeShade="80"/>
              <w:sz w:val="48"/>
              <w:szCs w:val="48"/>
            </w:rPr>
            <w:t xml:space="preserve">Actuarial Function </w:t>
          </w:r>
          <w:r w:rsidR="00A2194E" w:rsidRPr="007337C6">
            <w:rPr>
              <w:rFonts w:ascii="Trebuchet MS" w:hAnsi="Trebuchet MS"/>
              <w:b/>
              <w:i/>
              <w:color w:val="808080" w:themeColor="background1" w:themeShade="80"/>
              <w:sz w:val="48"/>
              <w:szCs w:val="48"/>
            </w:rPr>
            <w:t xml:space="preserve">Supplementary </w:t>
          </w:r>
          <w:r w:rsidR="00036D05" w:rsidRPr="007337C6">
            <w:rPr>
              <w:rFonts w:ascii="Trebuchet MS" w:hAnsi="Trebuchet MS"/>
              <w:b/>
              <w:i/>
              <w:color w:val="808080" w:themeColor="background1" w:themeShade="80"/>
              <w:sz w:val="48"/>
              <w:szCs w:val="48"/>
            </w:rPr>
            <w:t>Report</w:t>
          </w:r>
          <w:r w:rsidR="0022305F" w:rsidRPr="007337C6">
            <w:rPr>
              <w:rFonts w:ascii="Trebuchet MS" w:hAnsi="Trebuchet MS"/>
              <w:b/>
              <w:i/>
              <w:color w:val="808080" w:themeColor="background1" w:themeShade="80"/>
              <w:sz w:val="48"/>
              <w:szCs w:val="48"/>
            </w:rPr>
            <w:t xml:space="preserve"> for the </w:t>
          </w:r>
          <w:r w:rsidR="00665816" w:rsidRPr="007337C6">
            <w:rPr>
              <w:rFonts w:ascii="Trebuchet MS" w:hAnsi="Trebuchet MS"/>
              <w:b/>
              <w:i/>
              <w:color w:val="808080" w:themeColor="background1" w:themeShade="80"/>
              <w:sz w:val="48"/>
              <w:szCs w:val="48"/>
            </w:rPr>
            <w:t xml:space="preserve">assessment of the </w:t>
          </w:r>
          <w:r w:rsidR="00A2194E" w:rsidRPr="007337C6">
            <w:rPr>
              <w:rFonts w:ascii="Trebuchet MS" w:hAnsi="Trebuchet MS"/>
              <w:b/>
              <w:i/>
              <w:color w:val="808080" w:themeColor="background1" w:themeShade="80"/>
              <w:sz w:val="48"/>
              <w:szCs w:val="48"/>
            </w:rPr>
            <w:t>Part VII transfer</w:t>
          </w:r>
        </w:sdtContent>
      </w:sdt>
    </w:p>
    <w:p w14:paraId="17913A5A" w14:textId="4102317C" w:rsidR="001072A7" w:rsidRPr="007337C6" w:rsidRDefault="00950D28" w:rsidP="001072A7">
      <w:pPr>
        <w:spacing w:after="0"/>
        <w:jc w:val="center"/>
        <w:rPr>
          <w:rFonts w:ascii="Trebuchet MS" w:hAnsi="Trebuchet MS"/>
          <w:color w:val="44546A" w:themeColor="text2"/>
          <w:sz w:val="48"/>
          <w:szCs w:val="48"/>
        </w:rPr>
      </w:pPr>
      <w:proofErr w:type="gramStart"/>
      <w:r w:rsidRPr="007337C6">
        <w:rPr>
          <w:rFonts w:ascii="Trebuchet MS" w:hAnsi="Trebuchet MS"/>
          <w:color w:val="44546A" w:themeColor="text2"/>
          <w:sz w:val="48"/>
          <w:szCs w:val="48"/>
        </w:rPr>
        <w:t xml:space="preserve">From </w:t>
      </w:r>
      <w:r w:rsidR="0068564F" w:rsidRPr="007337C6">
        <w:rPr>
          <w:rFonts w:ascii="Trebuchet MS" w:hAnsi="Trebuchet MS"/>
          <w:color w:val="44546A" w:themeColor="text2"/>
          <w:sz w:val="48"/>
          <w:szCs w:val="48"/>
        </w:rPr>
        <w:t>L</w:t>
      </w:r>
      <w:r w:rsidR="00FF591C" w:rsidRPr="007337C6">
        <w:rPr>
          <w:rFonts w:ascii="Trebuchet MS" w:hAnsi="Trebuchet MS"/>
          <w:color w:val="44546A" w:themeColor="text2"/>
          <w:sz w:val="48"/>
          <w:szCs w:val="48"/>
        </w:rPr>
        <w:t xml:space="preserve">ondon </w:t>
      </w:r>
      <w:r w:rsidR="0068564F" w:rsidRPr="007337C6">
        <w:rPr>
          <w:rFonts w:ascii="Trebuchet MS" w:hAnsi="Trebuchet MS"/>
          <w:color w:val="44546A" w:themeColor="text2"/>
          <w:sz w:val="48"/>
          <w:szCs w:val="48"/>
        </w:rPr>
        <w:t>G</w:t>
      </w:r>
      <w:r w:rsidR="00FF591C" w:rsidRPr="007337C6">
        <w:rPr>
          <w:rFonts w:ascii="Trebuchet MS" w:hAnsi="Trebuchet MS"/>
          <w:color w:val="44546A" w:themeColor="text2"/>
          <w:sz w:val="48"/>
          <w:szCs w:val="48"/>
        </w:rPr>
        <w:t xml:space="preserve">eneral </w:t>
      </w:r>
      <w:r w:rsidR="0068564F" w:rsidRPr="007337C6">
        <w:rPr>
          <w:rFonts w:ascii="Trebuchet MS" w:hAnsi="Trebuchet MS"/>
          <w:color w:val="44546A" w:themeColor="text2"/>
          <w:sz w:val="48"/>
          <w:szCs w:val="48"/>
        </w:rPr>
        <w:t>I</w:t>
      </w:r>
      <w:r w:rsidR="00FF591C" w:rsidRPr="007337C6">
        <w:rPr>
          <w:rFonts w:ascii="Trebuchet MS" w:hAnsi="Trebuchet MS"/>
          <w:color w:val="44546A" w:themeColor="text2"/>
          <w:sz w:val="48"/>
          <w:szCs w:val="48"/>
        </w:rPr>
        <w:t>nsurance Limited and</w:t>
      </w:r>
      <w:r w:rsidR="00AA0043" w:rsidRPr="007337C6">
        <w:rPr>
          <w:rFonts w:ascii="Trebuchet MS" w:hAnsi="Trebuchet MS"/>
          <w:color w:val="44546A" w:themeColor="text2"/>
          <w:sz w:val="48"/>
          <w:szCs w:val="48"/>
        </w:rPr>
        <w:t xml:space="preserve"> </w:t>
      </w:r>
      <w:r w:rsidR="00FF591C" w:rsidRPr="007337C6">
        <w:rPr>
          <w:rFonts w:ascii="Trebuchet MS" w:hAnsi="Trebuchet MS"/>
          <w:color w:val="44546A" w:themeColor="text2"/>
          <w:sz w:val="48"/>
          <w:szCs w:val="48"/>
        </w:rPr>
        <w:t xml:space="preserve">Assurant General Insurance Limited </w:t>
      </w:r>
      <w:r w:rsidR="00AA0043" w:rsidRPr="007337C6">
        <w:rPr>
          <w:rFonts w:ascii="Trebuchet MS" w:hAnsi="Trebuchet MS"/>
          <w:color w:val="44546A" w:themeColor="text2"/>
          <w:sz w:val="48"/>
          <w:szCs w:val="48"/>
        </w:rPr>
        <w:t>into</w:t>
      </w:r>
      <w:r w:rsidR="00D46D33" w:rsidRPr="007337C6">
        <w:rPr>
          <w:rFonts w:ascii="Trebuchet MS" w:hAnsi="Trebuchet MS"/>
          <w:color w:val="44546A" w:themeColor="text2"/>
          <w:sz w:val="48"/>
          <w:szCs w:val="48"/>
        </w:rPr>
        <w:t xml:space="preserve"> </w:t>
      </w:r>
      <w:r w:rsidR="00FF591C" w:rsidRPr="007337C6">
        <w:rPr>
          <w:rFonts w:ascii="Trebuchet MS" w:hAnsi="Trebuchet MS"/>
          <w:color w:val="44546A" w:themeColor="text2"/>
          <w:sz w:val="48"/>
          <w:szCs w:val="48"/>
        </w:rPr>
        <w:t>Assurant Europe Insurance N.V.</w:t>
      </w:r>
      <w:proofErr w:type="gramEnd"/>
      <w:r w:rsidR="001128A0" w:rsidRPr="007337C6">
        <w:rPr>
          <w:rFonts w:ascii="Trebuchet MS" w:hAnsi="Trebuchet MS"/>
          <w:color w:val="44546A" w:themeColor="text2"/>
          <w:sz w:val="48"/>
          <w:szCs w:val="48"/>
        </w:rPr>
        <w:t xml:space="preserve"> </w:t>
      </w:r>
      <w:r w:rsidR="001128A0" w:rsidRPr="007337C6">
        <w:rPr>
          <w:rFonts w:ascii="Trebuchet MS" w:hAnsi="Trebuchet MS"/>
          <w:color w:val="44546A" w:themeColor="text2"/>
          <w:sz w:val="48"/>
          <w:szCs w:val="48"/>
        </w:rPr>
        <w:br/>
      </w:r>
    </w:p>
    <w:p w14:paraId="59BABE21" w14:textId="6C1CEE73" w:rsidR="001072A7" w:rsidRPr="007337C6" w:rsidRDefault="001072A7" w:rsidP="001072A7">
      <w:pPr>
        <w:spacing w:after="0"/>
        <w:jc w:val="center"/>
        <w:rPr>
          <w:rFonts w:ascii="Trebuchet MS" w:hAnsi="Trebuchet MS"/>
          <w:color w:val="44546A" w:themeColor="text2"/>
          <w:sz w:val="48"/>
          <w:szCs w:val="48"/>
        </w:rPr>
      </w:pPr>
    </w:p>
    <w:p w14:paraId="3D9CD290" w14:textId="5B85B128" w:rsidR="001072A7" w:rsidRPr="007337C6" w:rsidRDefault="001072A7" w:rsidP="001072A7">
      <w:pPr>
        <w:spacing w:after="0"/>
        <w:ind w:left="2694"/>
        <w:jc w:val="both"/>
        <w:rPr>
          <w:rFonts w:ascii="Trebuchet MS" w:hAnsi="Trebuchet MS"/>
          <w:color w:val="808080" w:themeColor="background1" w:themeShade="80"/>
          <w:sz w:val="36"/>
          <w:szCs w:val="36"/>
        </w:rPr>
      </w:pPr>
      <w:r w:rsidRPr="007337C6">
        <w:rPr>
          <w:rFonts w:ascii="Trebuchet MS" w:hAnsi="Trebuchet MS"/>
          <w:color w:val="808080" w:themeColor="background1" w:themeShade="80"/>
          <w:sz w:val="36"/>
          <w:szCs w:val="36"/>
        </w:rPr>
        <w:t xml:space="preserve">Effective Date: </w:t>
      </w:r>
      <w:sdt>
        <w:sdtPr>
          <w:rPr>
            <w:rFonts w:ascii="Trebuchet MS" w:hAnsi="Trebuchet MS"/>
            <w:i/>
            <w:color w:val="808080" w:themeColor="background1" w:themeShade="80"/>
            <w:sz w:val="36"/>
            <w:szCs w:val="36"/>
          </w:rPr>
          <w:alias w:val="Publish Date"/>
          <w:tag w:val=""/>
          <w:id w:val="-1283639589"/>
          <w:placeholder>
            <w:docPart w:val="CF4E9969D9E04CD098CDCA53C03747DF"/>
          </w:placeholder>
          <w:dataBinding w:prefixMappings="xmlns:ns0='http://schemas.microsoft.com/office/2006/coverPageProps' " w:xpath="/ns0:CoverPageProperties[1]/ns0:PublishDate[1]" w:storeItemID="{55AF091B-3C7A-41E3-B477-F2FDAA23CFDA}"/>
          <w:date w:fullDate="2020-11-02T00:00:00Z">
            <w:dateFormat w:val="dd/MM/yyyy"/>
            <w:lid w:val="en-GB"/>
            <w:storeMappedDataAs w:val="dateTime"/>
            <w:calendar w:val="gregorian"/>
          </w:date>
        </w:sdtPr>
        <w:sdtEndPr/>
        <w:sdtContent>
          <w:r w:rsidR="00EB0269" w:rsidRPr="007337C6">
            <w:rPr>
              <w:rFonts w:ascii="Trebuchet MS" w:hAnsi="Trebuchet MS"/>
              <w:i/>
              <w:color w:val="808080" w:themeColor="background1" w:themeShade="80"/>
              <w:sz w:val="36"/>
              <w:szCs w:val="36"/>
            </w:rPr>
            <w:t>02</w:t>
          </w:r>
          <w:r w:rsidR="006A0A93" w:rsidRPr="007337C6">
            <w:rPr>
              <w:rFonts w:ascii="Trebuchet MS" w:hAnsi="Trebuchet MS"/>
              <w:i/>
              <w:color w:val="808080" w:themeColor="background1" w:themeShade="80"/>
              <w:sz w:val="36"/>
              <w:szCs w:val="36"/>
            </w:rPr>
            <w:t>/</w:t>
          </w:r>
          <w:r w:rsidR="00374913" w:rsidRPr="007337C6">
            <w:rPr>
              <w:rFonts w:ascii="Trebuchet MS" w:hAnsi="Trebuchet MS"/>
              <w:i/>
              <w:color w:val="808080" w:themeColor="background1" w:themeShade="80"/>
              <w:sz w:val="36"/>
              <w:szCs w:val="36"/>
            </w:rPr>
            <w:t>1</w:t>
          </w:r>
          <w:r w:rsidR="00EB0269" w:rsidRPr="007337C6">
            <w:rPr>
              <w:rFonts w:ascii="Trebuchet MS" w:hAnsi="Trebuchet MS"/>
              <w:i/>
              <w:color w:val="808080" w:themeColor="background1" w:themeShade="80"/>
              <w:sz w:val="36"/>
              <w:szCs w:val="36"/>
            </w:rPr>
            <w:t>1</w:t>
          </w:r>
          <w:r w:rsidR="006A0A93" w:rsidRPr="007337C6">
            <w:rPr>
              <w:rFonts w:ascii="Trebuchet MS" w:hAnsi="Trebuchet MS"/>
              <w:i/>
              <w:color w:val="808080" w:themeColor="background1" w:themeShade="80"/>
              <w:sz w:val="36"/>
              <w:szCs w:val="36"/>
            </w:rPr>
            <w:t>/2020</w:t>
          </w:r>
        </w:sdtContent>
      </w:sdt>
    </w:p>
    <w:p w14:paraId="4446A233" w14:textId="77777777" w:rsidR="001072A7" w:rsidRPr="007337C6" w:rsidRDefault="001072A7" w:rsidP="001072A7">
      <w:pPr>
        <w:spacing w:after="0"/>
        <w:ind w:left="2694"/>
        <w:jc w:val="both"/>
        <w:rPr>
          <w:rFonts w:ascii="Trebuchet MS" w:hAnsi="Trebuchet MS"/>
          <w:b/>
        </w:rPr>
      </w:pPr>
    </w:p>
    <w:p w14:paraId="18D1BC89" w14:textId="77777777" w:rsidR="001072A7" w:rsidRPr="007337C6" w:rsidRDefault="001072A7" w:rsidP="001072A7">
      <w:pPr>
        <w:spacing w:after="0"/>
        <w:ind w:left="567" w:right="424"/>
        <w:jc w:val="both"/>
        <w:rPr>
          <w:rFonts w:ascii="Trebuchet MS" w:hAnsi="Trebuchet MS"/>
          <w:color w:val="808080" w:themeColor="background1" w:themeShade="80"/>
          <w:sz w:val="36"/>
          <w:szCs w:val="36"/>
        </w:rPr>
      </w:pPr>
    </w:p>
    <w:p w14:paraId="72E82383" w14:textId="1F467171" w:rsidR="00EB2E58" w:rsidRPr="007337C6" w:rsidRDefault="009D457A" w:rsidP="00EB2E58">
      <w:pPr>
        <w:spacing w:after="0"/>
        <w:ind w:left="567" w:right="424"/>
        <w:jc w:val="both"/>
        <w:rPr>
          <w:rFonts w:ascii="Trebuchet MS" w:hAnsi="Trebuchet MS"/>
          <w:i/>
          <w:color w:val="808080" w:themeColor="background1" w:themeShade="80"/>
          <w:sz w:val="36"/>
          <w:szCs w:val="36"/>
        </w:rPr>
      </w:pPr>
      <w:r>
        <w:rPr>
          <w:noProof/>
          <w:lang w:eastAsia="en-GB"/>
        </w:rPr>
        <w:drawing>
          <wp:anchor distT="0" distB="0" distL="114300" distR="114300" simplePos="0" relativeHeight="251678720" behindDoc="1" locked="0" layoutInCell="1" allowOverlap="1" wp14:anchorId="0203C7C6" wp14:editId="460FBA7B">
            <wp:simplePos x="0" y="0"/>
            <wp:positionH relativeFrom="column">
              <wp:posOffset>1876425</wp:posOffset>
            </wp:positionH>
            <wp:positionV relativeFrom="paragraph">
              <wp:posOffset>553720</wp:posOffset>
            </wp:positionV>
            <wp:extent cx="3686175" cy="16668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686175" cy="1666875"/>
                    </a:xfrm>
                    <a:prstGeom prst="rect">
                      <a:avLst/>
                    </a:prstGeom>
                  </pic:spPr>
                </pic:pic>
              </a:graphicData>
            </a:graphic>
            <wp14:sizeRelH relativeFrom="page">
              <wp14:pctWidth>0</wp14:pctWidth>
            </wp14:sizeRelH>
            <wp14:sizeRelV relativeFrom="page">
              <wp14:pctHeight>0</wp14:pctHeight>
            </wp14:sizeRelV>
          </wp:anchor>
        </w:drawing>
      </w:r>
      <w:r w:rsidR="00EB2E58" w:rsidRPr="007337C6">
        <w:rPr>
          <w:rFonts w:ascii="Trebuchet MS" w:hAnsi="Trebuchet MS"/>
          <w:color w:val="808080" w:themeColor="background1" w:themeShade="80"/>
          <w:sz w:val="36"/>
          <w:szCs w:val="36"/>
        </w:rPr>
        <w:t xml:space="preserve">Purpose: </w:t>
      </w:r>
      <w:bookmarkStart w:id="0" w:name="_Hlk37524160"/>
      <w:r w:rsidR="00EB2E58" w:rsidRPr="007337C6">
        <w:rPr>
          <w:rFonts w:ascii="Trebuchet MS" w:hAnsi="Trebuchet MS"/>
          <w:i/>
          <w:color w:val="808080" w:themeColor="background1" w:themeShade="80"/>
          <w:sz w:val="36"/>
          <w:szCs w:val="36"/>
        </w:rPr>
        <w:t xml:space="preserve">to </w:t>
      </w:r>
      <w:r w:rsidR="00F90A32" w:rsidRPr="007337C6">
        <w:rPr>
          <w:rFonts w:ascii="Trebuchet MS" w:hAnsi="Trebuchet MS"/>
          <w:i/>
          <w:color w:val="808080" w:themeColor="background1" w:themeShade="80"/>
          <w:sz w:val="36"/>
          <w:szCs w:val="36"/>
        </w:rPr>
        <w:t xml:space="preserve">update </w:t>
      </w:r>
      <w:r w:rsidR="00EB2E58" w:rsidRPr="007337C6">
        <w:rPr>
          <w:rFonts w:ascii="Trebuchet MS" w:hAnsi="Trebuchet MS"/>
          <w:i/>
          <w:color w:val="808080" w:themeColor="background1" w:themeShade="80"/>
          <w:sz w:val="36"/>
          <w:szCs w:val="36"/>
        </w:rPr>
        <w:t>the</w:t>
      </w:r>
      <w:r w:rsidR="00F90A32" w:rsidRPr="007337C6">
        <w:rPr>
          <w:rFonts w:ascii="Trebuchet MS" w:hAnsi="Trebuchet MS"/>
          <w:i/>
          <w:color w:val="808080" w:themeColor="background1" w:themeShade="80"/>
          <w:sz w:val="36"/>
          <w:szCs w:val="36"/>
        </w:rPr>
        <w:t xml:space="preserve"> analysis and conclusions of the</w:t>
      </w:r>
      <w:r w:rsidR="00EB2E58" w:rsidRPr="007337C6">
        <w:rPr>
          <w:rFonts w:ascii="Trebuchet MS" w:hAnsi="Trebuchet MS"/>
          <w:i/>
          <w:color w:val="808080" w:themeColor="background1" w:themeShade="80"/>
          <w:sz w:val="36"/>
          <w:szCs w:val="36"/>
        </w:rPr>
        <w:t xml:space="preserve"> likely impact of the proposed transfer of certain general insurance business from AGIL and LGI into AEI</w:t>
      </w:r>
      <w:bookmarkEnd w:id="0"/>
    </w:p>
    <w:p w14:paraId="7C71D86B" w14:textId="77777777" w:rsidR="001072A7" w:rsidRPr="007337C6" w:rsidRDefault="001072A7" w:rsidP="001072A7">
      <w:pPr>
        <w:spacing w:after="0"/>
        <w:ind w:left="567" w:right="424"/>
        <w:jc w:val="both"/>
        <w:rPr>
          <w:rFonts w:ascii="Trebuchet MS" w:hAnsi="Trebuchet MS"/>
          <w:color w:val="808080" w:themeColor="background1" w:themeShade="80"/>
          <w:sz w:val="36"/>
          <w:szCs w:val="36"/>
        </w:rPr>
      </w:pPr>
    </w:p>
    <w:p w14:paraId="39B81F33" w14:textId="77777777" w:rsidR="009D457A" w:rsidRDefault="009D457A" w:rsidP="00A21E85">
      <w:pPr>
        <w:spacing w:after="0"/>
        <w:ind w:left="1287" w:right="424" w:firstLine="153"/>
        <w:jc w:val="both"/>
        <w:rPr>
          <w:rFonts w:ascii="Trebuchet MS" w:hAnsi="Trebuchet MS"/>
          <w:i/>
          <w:color w:val="808080" w:themeColor="background1" w:themeShade="80"/>
          <w:sz w:val="36"/>
          <w:szCs w:val="36"/>
        </w:rPr>
      </w:pPr>
    </w:p>
    <w:p w14:paraId="6791B06E" w14:textId="77777777" w:rsidR="009D457A" w:rsidRDefault="009D457A" w:rsidP="00A21E85">
      <w:pPr>
        <w:spacing w:after="0"/>
        <w:ind w:left="1287" w:right="424" w:firstLine="153"/>
        <w:jc w:val="both"/>
        <w:rPr>
          <w:rFonts w:ascii="Trebuchet MS" w:hAnsi="Trebuchet MS"/>
          <w:i/>
          <w:color w:val="808080" w:themeColor="background1" w:themeShade="80"/>
          <w:sz w:val="36"/>
          <w:szCs w:val="36"/>
        </w:rPr>
      </w:pPr>
    </w:p>
    <w:p w14:paraId="33B0F0E9" w14:textId="77777777" w:rsidR="009D457A" w:rsidRDefault="009D457A" w:rsidP="00A21E85">
      <w:pPr>
        <w:spacing w:after="0"/>
        <w:ind w:left="1287" w:right="424" w:firstLine="153"/>
        <w:jc w:val="both"/>
        <w:rPr>
          <w:rFonts w:ascii="Trebuchet MS" w:hAnsi="Trebuchet MS"/>
          <w:i/>
          <w:color w:val="808080" w:themeColor="background1" w:themeShade="80"/>
          <w:sz w:val="36"/>
          <w:szCs w:val="36"/>
        </w:rPr>
      </w:pPr>
    </w:p>
    <w:p w14:paraId="2CF49249" w14:textId="16C3201A" w:rsidR="001072A7" w:rsidRPr="007337C6" w:rsidRDefault="001072A7" w:rsidP="00A21E85">
      <w:pPr>
        <w:spacing w:after="0"/>
        <w:ind w:left="1287" w:right="424" w:firstLine="153"/>
        <w:jc w:val="both"/>
        <w:rPr>
          <w:rFonts w:ascii="Trebuchet MS" w:hAnsi="Trebuchet MS"/>
          <w:color w:val="44546A" w:themeColor="text2"/>
          <w:sz w:val="48"/>
          <w:szCs w:val="48"/>
        </w:rPr>
      </w:pPr>
      <w:r w:rsidRPr="007337C6">
        <w:rPr>
          <w:rFonts w:ascii="Trebuchet MS" w:hAnsi="Trebuchet MS"/>
          <w:i/>
          <w:color w:val="808080" w:themeColor="background1" w:themeShade="80"/>
          <w:sz w:val="36"/>
          <w:szCs w:val="36"/>
        </w:rPr>
        <w:t>William Diffey FIA - Chief Actuary Europe</w:t>
      </w:r>
    </w:p>
    <w:p w14:paraId="44670392" w14:textId="7DCF92FA" w:rsidR="0068564F" w:rsidRPr="007337C6" w:rsidRDefault="0068564F" w:rsidP="00C7029F">
      <w:pPr>
        <w:spacing w:after="0"/>
        <w:ind w:left="1287" w:right="424" w:firstLine="153"/>
        <w:jc w:val="both"/>
        <w:rPr>
          <w:rFonts w:ascii="Trebuchet MS" w:hAnsi="Trebuchet MS"/>
          <w:color w:val="808080" w:themeColor="background1" w:themeShade="80"/>
          <w:sz w:val="36"/>
          <w:szCs w:val="36"/>
        </w:rPr>
      </w:pPr>
    </w:p>
    <w:p w14:paraId="39EC75E2" w14:textId="4A91CA7A" w:rsidR="003E14E9" w:rsidRPr="007337C6" w:rsidRDefault="003E14E9" w:rsidP="00F523D0">
      <w:pPr>
        <w:rPr>
          <w:rFonts w:ascii="Trebuchet MS" w:hAnsi="Trebuchet MS"/>
        </w:rPr>
      </w:pPr>
    </w:p>
    <w:p w14:paraId="049C44DF" w14:textId="2616EC18" w:rsidR="00A777A7" w:rsidRPr="00C46DDB" w:rsidRDefault="009D457A" w:rsidP="00F523D0">
      <w:pPr>
        <w:rPr>
          <w:rFonts w:ascii="Trebuchet MS" w:hAnsi="Trebuchet MS"/>
        </w:rPr>
      </w:pPr>
      <w:r w:rsidRPr="00C46DDB">
        <w:rPr>
          <w:rFonts w:ascii="Trebuchet MS" w:hAnsi="Trebuchet MS"/>
          <w:noProof/>
          <w:lang w:eastAsia="en-GB"/>
        </w:rPr>
        <mc:AlternateContent>
          <mc:Choice Requires="wps">
            <w:drawing>
              <wp:anchor distT="45720" distB="45720" distL="114300" distR="114300" simplePos="0" relativeHeight="251680768" behindDoc="0" locked="0" layoutInCell="1" allowOverlap="1" wp14:anchorId="1891963D" wp14:editId="3EDF232C">
                <wp:simplePos x="0" y="0"/>
                <wp:positionH relativeFrom="margin">
                  <wp:posOffset>5035550</wp:posOffset>
                </wp:positionH>
                <wp:positionV relativeFrom="paragraph">
                  <wp:posOffset>248285</wp:posOffset>
                </wp:positionV>
                <wp:extent cx="1663065" cy="3238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323850"/>
                        </a:xfrm>
                        <a:prstGeom prst="rect">
                          <a:avLst/>
                        </a:prstGeom>
                        <a:solidFill>
                          <a:srgbClr val="FFFFFF"/>
                        </a:solidFill>
                        <a:ln w="9525">
                          <a:noFill/>
                          <a:miter lim="800000"/>
                          <a:headEnd/>
                          <a:tailEnd/>
                        </a:ln>
                      </wps:spPr>
                      <wps:txbx>
                        <w:txbxContent>
                          <w:p w14:paraId="2587D23C" w14:textId="77777777" w:rsidR="009D457A" w:rsidRPr="004E55A9" w:rsidRDefault="009D457A" w:rsidP="009D457A">
                            <w:pPr>
                              <w:rPr>
                                <w:color w:val="808080" w:themeColor="background1" w:themeShade="80"/>
                                <w:sz w:val="24"/>
                                <w:szCs w:val="24"/>
                                <w:lang w:val="en-US"/>
                              </w:rPr>
                            </w:pPr>
                            <w:r w:rsidRPr="004E55A9">
                              <w:rPr>
                                <w:color w:val="808080" w:themeColor="background1" w:themeShade="80"/>
                                <w:sz w:val="24"/>
                                <w:szCs w:val="24"/>
                                <w:lang w:val="en-US"/>
                              </w:rPr>
                              <w:t xml:space="preserve">Issue date: </w:t>
                            </w:r>
                            <w:r>
                              <w:rPr>
                                <w:color w:val="808080" w:themeColor="background1" w:themeShade="80"/>
                                <w:sz w:val="24"/>
                                <w:szCs w:val="24"/>
                                <w:lang w:val="en-US"/>
                              </w:rPr>
                              <w:t>09</w:t>
                            </w:r>
                            <w:r w:rsidRPr="003C27AC">
                              <w:rPr>
                                <w:color w:val="808080" w:themeColor="background1" w:themeShade="80"/>
                                <w:sz w:val="24"/>
                                <w:szCs w:val="24"/>
                                <w:lang w:val="en-US"/>
                              </w:rPr>
                              <w:t>/</w:t>
                            </w:r>
                            <w:r>
                              <w:rPr>
                                <w:color w:val="808080" w:themeColor="background1" w:themeShade="80"/>
                                <w:sz w:val="24"/>
                                <w:szCs w:val="24"/>
                                <w:lang w:val="en-US"/>
                              </w:rPr>
                              <w:t>10</w:t>
                            </w:r>
                            <w:r w:rsidRPr="003C27AC">
                              <w:rPr>
                                <w:color w:val="808080" w:themeColor="background1" w:themeShade="80"/>
                                <w:sz w:val="24"/>
                                <w:szCs w:val="24"/>
                                <w:lang w:val="en-US"/>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5pt;margin-top:19.55pt;width:130.95pt;height:25.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" stroked="f">
                <v:textbox>
                  <w:txbxContent>
                    <w:p w14:paraId="2587D23C" w14:textId="77777777" w:rsidR="009D457A" w:rsidRPr="004E55A9" w:rsidRDefault="009D457A" w:rsidP="009D457A">
                      <w:pPr>
                        <w:rPr>
                          <w:color w:val="808080" w:themeColor="background1" w:themeShade="80"/>
                          <w:sz w:val="24"/>
                          <w:szCs w:val="24"/>
                          <w:lang w:val="en-US"/>
                        </w:rPr>
                      </w:pPr>
                      <w:r w:rsidRPr="004E55A9">
                        <w:rPr>
                          <w:color w:val="808080" w:themeColor="background1" w:themeShade="80"/>
                          <w:sz w:val="24"/>
                          <w:szCs w:val="24"/>
                          <w:lang w:val="en-US"/>
                        </w:rPr>
                        <w:t xml:space="preserve">Issue date: </w:t>
                      </w:r>
                      <w:r>
                        <w:rPr>
                          <w:color w:val="808080" w:themeColor="background1" w:themeShade="80"/>
                          <w:sz w:val="24"/>
                          <w:szCs w:val="24"/>
                          <w:lang w:val="en-US"/>
                        </w:rPr>
                        <w:t>09</w:t>
                      </w:r>
                      <w:r w:rsidRPr="003C27AC">
                        <w:rPr>
                          <w:color w:val="808080" w:themeColor="background1" w:themeShade="80"/>
                          <w:sz w:val="24"/>
                          <w:szCs w:val="24"/>
                          <w:lang w:val="en-US"/>
                        </w:rPr>
                        <w:t>/</w:t>
                      </w:r>
                      <w:r>
                        <w:rPr>
                          <w:color w:val="808080" w:themeColor="background1" w:themeShade="80"/>
                          <w:sz w:val="24"/>
                          <w:szCs w:val="24"/>
                          <w:lang w:val="en-US"/>
                        </w:rPr>
                        <w:t>10</w:t>
                      </w:r>
                      <w:r w:rsidRPr="003C27AC">
                        <w:rPr>
                          <w:color w:val="808080" w:themeColor="background1" w:themeShade="80"/>
                          <w:sz w:val="24"/>
                          <w:szCs w:val="24"/>
                          <w:lang w:val="en-US"/>
                        </w:rPr>
                        <w:t>/2020</w:t>
                      </w:r>
                    </w:p>
                  </w:txbxContent>
                </v:textbox>
                <w10:wrap type="square" anchorx="margin"/>
              </v:shape>
            </w:pict>
          </mc:Fallback>
        </mc:AlternateContent>
      </w:r>
    </w:p>
    <w:bookmarkStart w:id="1" w:name="_GoBack"/>
    <w:bookmarkEnd w:id="1"/>
    <w:p w14:paraId="2E3A0223" w14:textId="6EBE0E2C" w:rsidR="00A12CFA" w:rsidRPr="00EF722F" w:rsidRDefault="00BE31F9" w:rsidP="00F523D0">
      <w:pPr>
        <w:rPr>
          <w:rFonts w:ascii="Trebuchet MS" w:hAnsi="Trebuchet MS"/>
        </w:rPr>
      </w:pPr>
      <w:r w:rsidRPr="00C46DDB">
        <w:rPr>
          <w:rFonts w:ascii="Trebuchet MS" w:hAnsi="Trebuchet MS"/>
          <w:noProof/>
          <w:lang w:eastAsia="en-GB"/>
        </w:rPr>
        <w:lastRenderedPageBreak/>
        <mc:AlternateContent>
          <mc:Choice Requires="wps">
            <w:drawing>
              <wp:anchor distT="45720" distB="45720" distL="114300" distR="114300" simplePos="0" relativeHeight="251677696" behindDoc="0" locked="0" layoutInCell="1" allowOverlap="1" wp14:anchorId="05F5BDC6" wp14:editId="472A32CF">
                <wp:simplePos x="0" y="0"/>
                <wp:positionH relativeFrom="margin">
                  <wp:posOffset>4930816</wp:posOffset>
                </wp:positionH>
                <wp:positionV relativeFrom="paragraph">
                  <wp:posOffset>5466</wp:posOffset>
                </wp:positionV>
                <wp:extent cx="1663065" cy="323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323850"/>
                        </a:xfrm>
                        <a:prstGeom prst="rect">
                          <a:avLst/>
                        </a:prstGeom>
                        <a:solidFill>
                          <a:srgbClr val="FFFFFF"/>
                        </a:solidFill>
                        <a:ln w="9525">
                          <a:noFill/>
                          <a:miter lim="800000"/>
                          <a:headEnd/>
                          <a:tailEnd/>
                        </a:ln>
                      </wps:spPr>
                      <wps:txbx>
                        <w:txbxContent>
                          <w:p w14:paraId="7959E4C4" w14:textId="02FDBABF" w:rsidR="00082924" w:rsidRPr="004E55A9" w:rsidRDefault="00082924" w:rsidP="00BE31F9">
                            <w:pPr>
                              <w:rPr>
                                <w:color w:val="808080" w:themeColor="background1" w:themeShade="80"/>
                                <w:sz w:val="24"/>
                                <w:szCs w:val="24"/>
                                <w:lang w:val="en-US"/>
                              </w:rPr>
                            </w:pPr>
                            <w:r w:rsidRPr="004E55A9">
                              <w:rPr>
                                <w:color w:val="808080" w:themeColor="background1" w:themeShade="80"/>
                                <w:sz w:val="24"/>
                                <w:szCs w:val="24"/>
                                <w:lang w:val="en-US"/>
                              </w:rPr>
                              <w:t xml:space="preserve">Issue date: </w:t>
                            </w:r>
                            <w:r w:rsidR="00FE3AD0">
                              <w:rPr>
                                <w:color w:val="808080" w:themeColor="background1" w:themeShade="80"/>
                                <w:sz w:val="24"/>
                                <w:szCs w:val="24"/>
                                <w:lang w:val="en-US"/>
                              </w:rPr>
                              <w:t>09</w:t>
                            </w:r>
                            <w:r w:rsidRPr="003C27AC">
                              <w:rPr>
                                <w:color w:val="808080" w:themeColor="background1" w:themeShade="80"/>
                                <w:sz w:val="24"/>
                                <w:szCs w:val="24"/>
                                <w:lang w:val="en-US"/>
                              </w:rPr>
                              <w:t>/</w:t>
                            </w:r>
                            <w:r>
                              <w:rPr>
                                <w:color w:val="808080" w:themeColor="background1" w:themeShade="80"/>
                                <w:sz w:val="24"/>
                                <w:szCs w:val="24"/>
                                <w:lang w:val="en-US"/>
                              </w:rPr>
                              <w:t>10</w:t>
                            </w:r>
                            <w:r w:rsidRPr="003C27AC">
                              <w:rPr>
                                <w:color w:val="808080" w:themeColor="background1" w:themeShade="80"/>
                                <w:sz w:val="24"/>
                                <w:szCs w:val="24"/>
                                <w:lang w:val="en-US"/>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F5BDC6" id="_x0000_t202" coordsize="21600,21600" o:spt="202" path="m,l,21600r21600,l21600,xe">
                <v:stroke joinstyle="miter"/>
                <v:path gradientshapeok="t" o:connecttype="rect"/>
              </v:shapetype>
              <v:shape id="Text Box 2" o:spid="_x0000_s1026" type="#_x0000_t202" style="position:absolute;margin-left:388.25pt;margin-top:.45pt;width:130.95pt;height:25.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" stroked="f">
                <v:textbox>
                  <w:txbxContent>
                    <w:p w14:paraId="7959E4C4" w14:textId="02FDBABF" w:rsidR="00082924" w:rsidRPr="004E55A9" w:rsidRDefault="00082924" w:rsidP="00BE31F9">
                      <w:pPr>
                        <w:rPr>
                          <w:color w:val="808080" w:themeColor="background1" w:themeShade="80"/>
                          <w:sz w:val="24"/>
                          <w:szCs w:val="24"/>
                          <w:lang w:val="en-US"/>
                        </w:rPr>
                      </w:pPr>
                      <w:r w:rsidRPr="004E55A9">
                        <w:rPr>
                          <w:color w:val="808080" w:themeColor="background1" w:themeShade="80"/>
                          <w:sz w:val="24"/>
                          <w:szCs w:val="24"/>
                          <w:lang w:val="en-US"/>
                        </w:rPr>
                        <w:t xml:space="preserve">Issue date: </w:t>
                      </w:r>
                      <w:r w:rsidR="00FE3AD0">
                        <w:rPr>
                          <w:color w:val="808080" w:themeColor="background1" w:themeShade="80"/>
                          <w:sz w:val="24"/>
                          <w:szCs w:val="24"/>
                          <w:lang w:val="en-US"/>
                        </w:rPr>
                        <w:t>09</w:t>
                      </w:r>
                      <w:r w:rsidRPr="003C27AC">
                        <w:rPr>
                          <w:color w:val="808080" w:themeColor="background1" w:themeShade="80"/>
                          <w:sz w:val="24"/>
                          <w:szCs w:val="24"/>
                          <w:lang w:val="en-US"/>
                        </w:rPr>
                        <w:t>/</w:t>
                      </w:r>
                      <w:r>
                        <w:rPr>
                          <w:color w:val="808080" w:themeColor="background1" w:themeShade="80"/>
                          <w:sz w:val="24"/>
                          <w:szCs w:val="24"/>
                          <w:lang w:val="en-US"/>
                        </w:rPr>
                        <w:t>10</w:t>
                      </w:r>
                      <w:r w:rsidRPr="003C27AC">
                        <w:rPr>
                          <w:color w:val="808080" w:themeColor="background1" w:themeShade="80"/>
                          <w:sz w:val="24"/>
                          <w:szCs w:val="24"/>
                          <w:lang w:val="en-US"/>
                        </w:rPr>
                        <w:t>/2020</w:t>
                      </w:r>
                    </w:p>
                  </w:txbxContent>
                </v:textbox>
                <w10:wrap type="square" anchorx="margin"/>
              </v:shape>
            </w:pict>
          </mc:Fallback>
        </mc:AlternateContent>
      </w:r>
    </w:p>
    <w:sdt>
      <w:sdtPr>
        <w:rPr>
          <w:rFonts w:ascii="Trebuchet MS" w:eastAsiaTheme="minorHAnsi" w:hAnsi="Trebuchet MS" w:cstheme="minorBidi"/>
          <w:color w:val="auto"/>
          <w:sz w:val="22"/>
          <w:szCs w:val="22"/>
          <w:lang w:val="en-GB"/>
        </w:rPr>
        <w:id w:val="1078561957"/>
        <w:docPartObj>
          <w:docPartGallery w:val="Table of Contents"/>
          <w:docPartUnique/>
        </w:docPartObj>
      </w:sdtPr>
      <w:sdtEndPr>
        <w:rPr>
          <w:b/>
          <w:bCs/>
          <w:noProof/>
        </w:rPr>
      </w:sdtEndPr>
      <w:sdtContent>
        <w:p w14:paraId="1ABBEB04" w14:textId="50F9F47B" w:rsidR="00C42CB5" w:rsidRPr="00ED58A9" w:rsidRDefault="00C42CB5">
          <w:pPr>
            <w:pStyle w:val="TOCHeading"/>
            <w:rPr>
              <w:rFonts w:ascii="Trebuchet MS" w:hAnsi="Trebuchet MS"/>
            </w:rPr>
          </w:pPr>
          <w:r w:rsidRPr="00EF722F">
            <w:rPr>
              <w:rFonts w:ascii="Trebuchet MS" w:hAnsi="Trebuchet MS"/>
            </w:rPr>
            <w:t>Contents</w:t>
          </w:r>
        </w:p>
        <w:p w14:paraId="3FC847E1" w14:textId="372C9BE5" w:rsidR="00EF722F" w:rsidRPr="00ED58A9" w:rsidRDefault="00C42CB5">
          <w:pPr>
            <w:pStyle w:val="TOC1"/>
            <w:rPr>
              <w:rFonts w:ascii="Trebuchet MS" w:eastAsiaTheme="minorEastAsia" w:hAnsi="Trebuchet MS"/>
              <w:noProof/>
              <w:lang w:eastAsia="en-GB"/>
            </w:rPr>
          </w:pPr>
          <w:r w:rsidRPr="00ED58A9">
            <w:rPr>
              <w:rFonts w:ascii="Trebuchet MS" w:hAnsi="Trebuchet MS"/>
            </w:rPr>
            <w:fldChar w:fldCharType="begin"/>
          </w:r>
          <w:r w:rsidRPr="00EF722F">
            <w:rPr>
              <w:rFonts w:ascii="Trebuchet MS" w:hAnsi="Trebuchet MS"/>
            </w:rPr>
            <w:instrText xml:space="preserve"> TOC \o "1-2" \h \z \u </w:instrText>
          </w:r>
          <w:r w:rsidRPr="00ED58A9">
            <w:rPr>
              <w:rFonts w:ascii="Trebuchet MS" w:hAnsi="Trebuchet MS"/>
            </w:rPr>
            <w:fldChar w:fldCharType="separate"/>
          </w:r>
          <w:hyperlink w:anchor="_Toc52451865" w:history="1">
            <w:r w:rsidR="00EF722F" w:rsidRPr="00ED58A9">
              <w:rPr>
                <w:rStyle w:val="Hyperlink"/>
                <w:rFonts w:ascii="Trebuchet MS" w:hAnsi="Trebuchet MS"/>
                <w:noProof/>
              </w:rPr>
              <w:t>1.</w:t>
            </w:r>
            <w:r w:rsidR="00EF722F" w:rsidRPr="00ED58A9">
              <w:rPr>
                <w:rFonts w:ascii="Trebuchet MS" w:eastAsiaTheme="minorEastAsia" w:hAnsi="Trebuchet MS"/>
                <w:noProof/>
                <w:lang w:eastAsia="en-GB"/>
              </w:rPr>
              <w:tab/>
            </w:r>
            <w:r w:rsidR="00EF722F" w:rsidRPr="00ED58A9">
              <w:rPr>
                <w:rStyle w:val="Hyperlink"/>
                <w:rFonts w:ascii="Trebuchet MS" w:hAnsi="Trebuchet MS"/>
                <w:noProof/>
              </w:rPr>
              <w:t>Introduction</w:t>
            </w:r>
            <w:r w:rsidR="00EF722F" w:rsidRPr="00ED58A9">
              <w:rPr>
                <w:rFonts w:ascii="Trebuchet MS" w:hAnsi="Trebuchet MS"/>
                <w:noProof/>
                <w:webHidden/>
              </w:rPr>
              <w:tab/>
            </w:r>
            <w:r w:rsidR="00EF722F" w:rsidRPr="00ED58A9">
              <w:rPr>
                <w:rFonts w:ascii="Trebuchet MS" w:hAnsi="Trebuchet MS"/>
                <w:noProof/>
                <w:webHidden/>
              </w:rPr>
              <w:fldChar w:fldCharType="begin"/>
            </w:r>
            <w:r w:rsidR="00EF722F" w:rsidRPr="00ED58A9">
              <w:rPr>
                <w:rFonts w:ascii="Trebuchet MS" w:hAnsi="Trebuchet MS"/>
                <w:noProof/>
                <w:webHidden/>
              </w:rPr>
              <w:instrText xml:space="preserve"> PAGEREF _Toc52451865 \h </w:instrText>
            </w:r>
            <w:r w:rsidR="00EF722F" w:rsidRPr="00ED58A9">
              <w:rPr>
                <w:rFonts w:ascii="Trebuchet MS" w:hAnsi="Trebuchet MS"/>
                <w:noProof/>
                <w:webHidden/>
              </w:rPr>
            </w:r>
            <w:r w:rsidR="00EF722F" w:rsidRPr="00ED58A9">
              <w:rPr>
                <w:rFonts w:ascii="Trebuchet MS" w:hAnsi="Trebuchet MS"/>
                <w:noProof/>
                <w:webHidden/>
              </w:rPr>
              <w:fldChar w:fldCharType="separate"/>
            </w:r>
            <w:r w:rsidR="00AA475A">
              <w:rPr>
                <w:rFonts w:ascii="Trebuchet MS" w:hAnsi="Trebuchet MS"/>
                <w:noProof/>
                <w:webHidden/>
              </w:rPr>
              <w:t>4</w:t>
            </w:r>
            <w:r w:rsidR="00EF722F" w:rsidRPr="00ED58A9">
              <w:rPr>
                <w:rFonts w:ascii="Trebuchet MS" w:hAnsi="Trebuchet MS"/>
                <w:noProof/>
                <w:webHidden/>
              </w:rPr>
              <w:fldChar w:fldCharType="end"/>
            </w:r>
          </w:hyperlink>
        </w:p>
        <w:p w14:paraId="017A5E14" w14:textId="62044B32" w:rsidR="00EF722F" w:rsidRPr="00ED58A9" w:rsidRDefault="009D457A">
          <w:pPr>
            <w:pStyle w:val="TOC1"/>
            <w:rPr>
              <w:rFonts w:ascii="Trebuchet MS" w:eastAsiaTheme="minorEastAsia" w:hAnsi="Trebuchet MS"/>
              <w:noProof/>
              <w:lang w:eastAsia="en-GB"/>
            </w:rPr>
          </w:pPr>
          <w:hyperlink w:anchor="_Toc52451866" w:history="1">
            <w:r w:rsidR="00EF722F" w:rsidRPr="00ED58A9">
              <w:rPr>
                <w:rStyle w:val="Hyperlink"/>
                <w:rFonts w:ascii="Trebuchet MS" w:hAnsi="Trebuchet MS"/>
                <w:noProof/>
              </w:rPr>
              <w:t>2.</w:t>
            </w:r>
            <w:r w:rsidR="00EF722F" w:rsidRPr="00ED58A9">
              <w:rPr>
                <w:rFonts w:ascii="Trebuchet MS" w:eastAsiaTheme="minorEastAsia" w:hAnsi="Trebuchet MS"/>
                <w:noProof/>
                <w:lang w:eastAsia="en-GB"/>
              </w:rPr>
              <w:tab/>
            </w:r>
            <w:r w:rsidR="00EF722F" w:rsidRPr="00ED58A9">
              <w:rPr>
                <w:rStyle w:val="Hyperlink"/>
                <w:rFonts w:ascii="Trebuchet MS" w:hAnsi="Trebuchet MS"/>
                <w:noProof/>
              </w:rPr>
              <w:t>Update in conclusions</w:t>
            </w:r>
            <w:r w:rsidR="00EF722F" w:rsidRPr="00ED58A9">
              <w:rPr>
                <w:rFonts w:ascii="Trebuchet MS" w:hAnsi="Trebuchet MS"/>
                <w:noProof/>
                <w:webHidden/>
              </w:rPr>
              <w:tab/>
            </w:r>
            <w:r w:rsidR="00EF722F" w:rsidRPr="00ED58A9">
              <w:rPr>
                <w:rFonts w:ascii="Trebuchet MS" w:hAnsi="Trebuchet MS"/>
                <w:noProof/>
                <w:webHidden/>
              </w:rPr>
              <w:fldChar w:fldCharType="begin"/>
            </w:r>
            <w:r w:rsidR="00EF722F" w:rsidRPr="00ED58A9">
              <w:rPr>
                <w:rFonts w:ascii="Trebuchet MS" w:hAnsi="Trebuchet MS"/>
                <w:noProof/>
                <w:webHidden/>
              </w:rPr>
              <w:instrText xml:space="preserve"> PAGEREF _Toc52451866 \h </w:instrText>
            </w:r>
            <w:r w:rsidR="00EF722F" w:rsidRPr="00ED58A9">
              <w:rPr>
                <w:rFonts w:ascii="Trebuchet MS" w:hAnsi="Trebuchet MS"/>
                <w:noProof/>
                <w:webHidden/>
              </w:rPr>
            </w:r>
            <w:r w:rsidR="00EF722F" w:rsidRPr="00ED58A9">
              <w:rPr>
                <w:rFonts w:ascii="Trebuchet MS" w:hAnsi="Trebuchet MS"/>
                <w:noProof/>
                <w:webHidden/>
              </w:rPr>
              <w:fldChar w:fldCharType="separate"/>
            </w:r>
            <w:r w:rsidR="00AA475A">
              <w:rPr>
                <w:rFonts w:ascii="Trebuchet MS" w:hAnsi="Trebuchet MS"/>
                <w:noProof/>
                <w:webHidden/>
              </w:rPr>
              <w:t>5</w:t>
            </w:r>
            <w:r w:rsidR="00EF722F" w:rsidRPr="00ED58A9">
              <w:rPr>
                <w:rFonts w:ascii="Trebuchet MS" w:hAnsi="Trebuchet MS"/>
                <w:noProof/>
                <w:webHidden/>
              </w:rPr>
              <w:fldChar w:fldCharType="end"/>
            </w:r>
          </w:hyperlink>
        </w:p>
        <w:p w14:paraId="4E77E8DA" w14:textId="0F526F9A" w:rsidR="00EF722F" w:rsidRPr="00ED58A9" w:rsidRDefault="009D457A">
          <w:pPr>
            <w:pStyle w:val="TOC1"/>
            <w:rPr>
              <w:rFonts w:ascii="Trebuchet MS" w:eastAsiaTheme="minorEastAsia" w:hAnsi="Trebuchet MS"/>
              <w:noProof/>
              <w:lang w:eastAsia="en-GB"/>
            </w:rPr>
          </w:pPr>
          <w:hyperlink w:anchor="_Toc52451867" w:history="1">
            <w:r w:rsidR="00EF722F" w:rsidRPr="00ED58A9">
              <w:rPr>
                <w:rStyle w:val="Hyperlink"/>
                <w:rFonts w:ascii="Trebuchet MS" w:hAnsi="Trebuchet MS"/>
                <w:noProof/>
              </w:rPr>
              <w:t>2.1.</w:t>
            </w:r>
            <w:r w:rsidR="00EF722F" w:rsidRPr="00ED58A9">
              <w:rPr>
                <w:rFonts w:ascii="Trebuchet MS" w:eastAsiaTheme="minorEastAsia" w:hAnsi="Trebuchet MS"/>
                <w:noProof/>
                <w:lang w:eastAsia="en-GB"/>
              </w:rPr>
              <w:tab/>
            </w:r>
            <w:r w:rsidR="00EF722F" w:rsidRPr="00ED58A9">
              <w:rPr>
                <w:rStyle w:val="Hyperlink"/>
                <w:rFonts w:ascii="Trebuchet MS" w:hAnsi="Trebuchet MS"/>
                <w:noProof/>
              </w:rPr>
              <w:t>Recent developments</w:t>
            </w:r>
            <w:r w:rsidR="00EF722F" w:rsidRPr="00ED58A9">
              <w:rPr>
                <w:rFonts w:ascii="Trebuchet MS" w:hAnsi="Trebuchet MS"/>
                <w:noProof/>
                <w:webHidden/>
              </w:rPr>
              <w:tab/>
            </w:r>
            <w:r w:rsidR="00EF722F" w:rsidRPr="00ED58A9">
              <w:rPr>
                <w:rFonts w:ascii="Trebuchet MS" w:hAnsi="Trebuchet MS"/>
                <w:noProof/>
                <w:webHidden/>
              </w:rPr>
              <w:fldChar w:fldCharType="begin"/>
            </w:r>
            <w:r w:rsidR="00EF722F" w:rsidRPr="00ED58A9">
              <w:rPr>
                <w:rFonts w:ascii="Trebuchet MS" w:hAnsi="Trebuchet MS"/>
                <w:noProof/>
                <w:webHidden/>
              </w:rPr>
              <w:instrText xml:space="preserve"> PAGEREF _Toc52451867 \h </w:instrText>
            </w:r>
            <w:r w:rsidR="00EF722F" w:rsidRPr="00ED58A9">
              <w:rPr>
                <w:rFonts w:ascii="Trebuchet MS" w:hAnsi="Trebuchet MS"/>
                <w:noProof/>
                <w:webHidden/>
              </w:rPr>
            </w:r>
            <w:r w:rsidR="00EF722F" w:rsidRPr="00ED58A9">
              <w:rPr>
                <w:rFonts w:ascii="Trebuchet MS" w:hAnsi="Trebuchet MS"/>
                <w:noProof/>
                <w:webHidden/>
              </w:rPr>
              <w:fldChar w:fldCharType="separate"/>
            </w:r>
            <w:r w:rsidR="00AA475A">
              <w:rPr>
                <w:rFonts w:ascii="Trebuchet MS" w:hAnsi="Trebuchet MS"/>
                <w:noProof/>
                <w:webHidden/>
              </w:rPr>
              <w:t>5</w:t>
            </w:r>
            <w:r w:rsidR="00EF722F" w:rsidRPr="00ED58A9">
              <w:rPr>
                <w:rFonts w:ascii="Trebuchet MS" w:hAnsi="Trebuchet MS"/>
                <w:noProof/>
                <w:webHidden/>
              </w:rPr>
              <w:fldChar w:fldCharType="end"/>
            </w:r>
          </w:hyperlink>
        </w:p>
        <w:p w14:paraId="692CC6E4" w14:textId="7E82CE2D" w:rsidR="00EF722F" w:rsidRPr="00ED58A9" w:rsidRDefault="009D457A">
          <w:pPr>
            <w:pStyle w:val="TOC1"/>
            <w:rPr>
              <w:rFonts w:ascii="Trebuchet MS" w:eastAsiaTheme="minorEastAsia" w:hAnsi="Trebuchet MS"/>
              <w:noProof/>
              <w:lang w:eastAsia="en-GB"/>
            </w:rPr>
          </w:pPr>
          <w:hyperlink w:anchor="_Toc52451868" w:history="1">
            <w:r w:rsidR="00EF722F" w:rsidRPr="00ED58A9">
              <w:rPr>
                <w:rStyle w:val="Hyperlink"/>
                <w:rFonts w:ascii="Trebuchet MS" w:hAnsi="Trebuchet MS"/>
                <w:noProof/>
              </w:rPr>
              <w:t>2.2.</w:t>
            </w:r>
            <w:r w:rsidR="00EF722F" w:rsidRPr="00ED58A9">
              <w:rPr>
                <w:rFonts w:ascii="Trebuchet MS" w:eastAsiaTheme="minorEastAsia" w:hAnsi="Trebuchet MS"/>
                <w:noProof/>
                <w:lang w:eastAsia="en-GB"/>
              </w:rPr>
              <w:tab/>
            </w:r>
            <w:r w:rsidR="00EF722F" w:rsidRPr="00ED58A9">
              <w:rPr>
                <w:rStyle w:val="Hyperlink"/>
                <w:rFonts w:ascii="Trebuchet MS" w:hAnsi="Trebuchet MS"/>
                <w:noProof/>
              </w:rPr>
              <w:t>Conclusions</w:t>
            </w:r>
            <w:r w:rsidR="00EF722F" w:rsidRPr="00ED58A9">
              <w:rPr>
                <w:rFonts w:ascii="Trebuchet MS" w:hAnsi="Trebuchet MS"/>
                <w:noProof/>
                <w:webHidden/>
              </w:rPr>
              <w:tab/>
            </w:r>
            <w:r w:rsidR="00EF722F" w:rsidRPr="00ED58A9">
              <w:rPr>
                <w:rFonts w:ascii="Trebuchet MS" w:hAnsi="Trebuchet MS"/>
                <w:noProof/>
                <w:webHidden/>
              </w:rPr>
              <w:fldChar w:fldCharType="begin"/>
            </w:r>
            <w:r w:rsidR="00EF722F" w:rsidRPr="00ED58A9">
              <w:rPr>
                <w:rFonts w:ascii="Trebuchet MS" w:hAnsi="Trebuchet MS"/>
                <w:noProof/>
                <w:webHidden/>
              </w:rPr>
              <w:instrText xml:space="preserve"> PAGEREF _Toc52451868 \h </w:instrText>
            </w:r>
            <w:r w:rsidR="00EF722F" w:rsidRPr="00ED58A9">
              <w:rPr>
                <w:rFonts w:ascii="Trebuchet MS" w:hAnsi="Trebuchet MS"/>
                <w:noProof/>
                <w:webHidden/>
              </w:rPr>
            </w:r>
            <w:r w:rsidR="00EF722F" w:rsidRPr="00ED58A9">
              <w:rPr>
                <w:rFonts w:ascii="Trebuchet MS" w:hAnsi="Trebuchet MS"/>
                <w:noProof/>
                <w:webHidden/>
              </w:rPr>
              <w:fldChar w:fldCharType="separate"/>
            </w:r>
            <w:r w:rsidR="00AA475A">
              <w:rPr>
                <w:rFonts w:ascii="Trebuchet MS" w:hAnsi="Trebuchet MS"/>
                <w:noProof/>
                <w:webHidden/>
              </w:rPr>
              <w:t>5</w:t>
            </w:r>
            <w:r w:rsidR="00EF722F" w:rsidRPr="00ED58A9">
              <w:rPr>
                <w:rFonts w:ascii="Trebuchet MS" w:hAnsi="Trebuchet MS"/>
                <w:noProof/>
                <w:webHidden/>
              </w:rPr>
              <w:fldChar w:fldCharType="end"/>
            </w:r>
          </w:hyperlink>
        </w:p>
        <w:p w14:paraId="75D6FA02" w14:textId="754F195E" w:rsidR="00EF722F" w:rsidRPr="00ED58A9" w:rsidRDefault="009D457A">
          <w:pPr>
            <w:pStyle w:val="TOC1"/>
            <w:rPr>
              <w:rFonts w:ascii="Trebuchet MS" w:eastAsiaTheme="minorEastAsia" w:hAnsi="Trebuchet MS"/>
              <w:noProof/>
              <w:lang w:eastAsia="en-GB"/>
            </w:rPr>
          </w:pPr>
          <w:hyperlink w:anchor="_Toc52451869" w:history="1">
            <w:r w:rsidR="00EF722F" w:rsidRPr="00ED58A9">
              <w:rPr>
                <w:rStyle w:val="Hyperlink"/>
                <w:rFonts w:ascii="Trebuchet MS" w:hAnsi="Trebuchet MS"/>
                <w:noProof/>
              </w:rPr>
              <w:t>2.3.</w:t>
            </w:r>
            <w:r w:rsidR="00EF722F" w:rsidRPr="00ED58A9">
              <w:rPr>
                <w:rFonts w:ascii="Trebuchet MS" w:eastAsiaTheme="minorEastAsia" w:hAnsi="Trebuchet MS"/>
                <w:noProof/>
                <w:lang w:eastAsia="en-GB"/>
              </w:rPr>
              <w:tab/>
            </w:r>
            <w:r w:rsidR="00EF722F" w:rsidRPr="00ED58A9">
              <w:rPr>
                <w:rStyle w:val="Hyperlink"/>
                <w:rFonts w:ascii="Trebuchet MS" w:hAnsi="Trebuchet MS"/>
                <w:noProof/>
              </w:rPr>
              <w:t>Opinion of the Chief Actuary</w:t>
            </w:r>
            <w:r w:rsidR="00EF722F" w:rsidRPr="00ED58A9">
              <w:rPr>
                <w:rFonts w:ascii="Trebuchet MS" w:hAnsi="Trebuchet MS"/>
                <w:noProof/>
                <w:webHidden/>
              </w:rPr>
              <w:tab/>
            </w:r>
            <w:r w:rsidR="00EF722F" w:rsidRPr="00ED58A9">
              <w:rPr>
                <w:rFonts w:ascii="Trebuchet MS" w:hAnsi="Trebuchet MS"/>
                <w:noProof/>
                <w:webHidden/>
              </w:rPr>
              <w:fldChar w:fldCharType="begin"/>
            </w:r>
            <w:r w:rsidR="00EF722F" w:rsidRPr="00ED58A9">
              <w:rPr>
                <w:rFonts w:ascii="Trebuchet MS" w:hAnsi="Trebuchet MS"/>
                <w:noProof/>
                <w:webHidden/>
              </w:rPr>
              <w:instrText xml:space="preserve"> PAGEREF _Toc52451869 \h </w:instrText>
            </w:r>
            <w:r w:rsidR="00EF722F" w:rsidRPr="00ED58A9">
              <w:rPr>
                <w:rFonts w:ascii="Trebuchet MS" w:hAnsi="Trebuchet MS"/>
                <w:noProof/>
                <w:webHidden/>
              </w:rPr>
            </w:r>
            <w:r w:rsidR="00EF722F" w:rsidRPr="00ED58A9">
              <w:rPr>
                <w:rFonts w:ascii="Trebuchet MS" w:hAnsi="Trebuchet MS"/>
                <w:noProof/>
                <w:webHidden/>
              </w:rPr>
              <w:fldChar w:fldCharType="separate"/>
            </w:r>
            <w:r w:rsidR="00AA475A">
              <w:rPr>
                <w:rFonts w:ascii="Trebuchet MS" w:hAnsi="Trebuchet MS"/>
                <w:noProof/>
                <w:webHidden/>
              </w:rPr>
              <w:t>7</w:t>
            </w:r>
            <w:r w:rsidR="00EF722F" w:rsidRPr="00ED58A9">
              <w:rPr>
                <w:rFonts w:ascii="Trebuchet MS" w:hAnsi="Trebuchet MS"/>
                <w:noProof/>
                <w:webHidden/>
              </w:rPr>
              <w:fldChar w:fldCharType="end"/>
            </w:r>
          </w:hyperlink>
        </w:p>
        <w:p w14:paraId="53420F1E" w14:textId="1F4F3E42" w:rsidR="00EF722F" w:rsidRPr="00ED58A9" w:rsidRDefault="009D457A">
          <w:pPr>
            <w:pStyle w:val="TOC1"/>
            <w:rPr>
              <w:rFonts w:ascii="Trebuchet MS" w:eastAsiaTheme="minorEastAsia" w:hAnsi="Trebuchet MS"/>
              <w:noProof/>
              <w:lang w:eastAsia="en-GB"/>
            </w:rPr>
          </w:pPr>
          <w:hyperlink w:anchor="_Toc52451870" w:history="1">
            <w:r w:rsidR="00EF722F" w:rsidRPr="00ED58A9">
              <w:rPr>
                <w:rStyle w:val="Hyperlink"/>
                <w:rFonts w:ascii="Trebuchet MS" w:hAnsi="Trebuchet MS"/>
                <w:noProof/>
              </w:rPr>
              <w:t>3.</w:t>
            </w:r>
            <w:r w:rsidR="00EF722F" w:rsidRPr="00ED58A9">
              <w:rPr>
                <w:rFonts w:ascii="Trebuchet MS" w:eastAsiaTheme="minorEastAsia" w:hAnsi="Trebuchet MS"/>
                <w:noProof/>
                <w:lang w:eastAsia="en-GB"/>
              </w:rPr>
              <w:tab/>
            </w:r>
            <w:r w:rsidR="00EF722F" w:rsidRPr="00ED58A9">
              <w:rPr>
                <w:rStyle w:val="Hyperlink"/>
                <w:rFonts w:ascii="Trebuchet MS" w:hAnsi="Trebuchet MS"/>
                <w:noProof/>
              </w:rPr>
              <w:t>Recent developments impacting the Transfer</w:t>
            </w:r>
            <w:r w:rsidR="00EF722F" w:rsidRPr="00ED58A9">
              <w:rPr>
                <w:rFonts w:ascii="Trebuchet MS" w:hAnsi="Trebuchet MS"/>
                <w:noProof/>
                <w:webHidden/>
              </w:rPr>
              <w:tab/>
            </w:r>
            <w:r w:rsidR="00EF722F" w:rsidRPr="00ED58A9">
              <w:rPr>
                <w:rFonts w:ascii="Trebuchet MS" w:hAnsi="Trebuchet MS"/>
                <w:noProof/>
                <w:webHidden/>
              </w:rPr>
              <w:fldChar w:fldCharType="begin"/>
            </w:r>
            <w:r w:rsidR="00EF722F" w:rsidRPr="00ED58A9">
              <w:rPr>
                <w:rFonts w:ascii="Trebuchet MS" w:hAnsi="Trebuchet MS"/>
                <w:noProof/>
                <w:webHidden/>
              </w:rPr>
              <w:instrText xml:space="preserve"> PAGEREF _Toc52451870 \h </w:instrText>
            </w:r>
            <w:r w:rsidR="00EF722F" w:rsidRPr="00ED58A9">
              <w:rPr>
                <w:rFonts w:ascii="Trebuchet MS" w:hAnsi="Trebuchet MS"/>
                <w:noProof/>
                <w:webHidden/>
              </w:rPr>
            </w:r>
            <w:r w:rsidR="00EF722F" w:rsidRPr="00ED58A9">
              <w:rPr>
                <w:rFonts w:ascii="Trebuchet MS" w:hAnsi="Trebuchet MS"/>
                <w:noProof/>
                <w:webHidden/>
              </w:rPr>
              <w:fldChar w:fldCharType="separate"/>
            </w:r>
            <w:r w:rsidR="00AA475A">
              <w:rPr>
                <w:rFonts w:ascii="Trebuchet MS" w:hAnsi="Trebuchet MS"/>
                <w:noProof/>
                <w:webHidden/>
              </w:rPr>
              <w:t>8</w:t>
            </w:r>
            <w:r w:rsidR="00EF722F" w:rsidRPr="00ED58A9">
              <w:rPr>
                <w:rFonts w:ascii="Trebuchet MS" w:hAnsi="Trebuchet MS"/>
                <w:noProof/>
                <w:webHidden/>
              </w:rPr>
              <w:fldChar w:fldCharType="end"/>
            </w:r>
          </w:hyperlink>
        </w:p>
        <w:p w14:paraId="284ADD6C" w14:textId="2583F3C3" w:rsidR="00EF722F" w:rsidRPr="00ED58A9" w:rsidRDefault="009D457A">
          <w:pPr>
            <w:pStyle w:val="TOC1"/>
            <w:rPr>
              <w:rFonts w:ascii="Trebuchet MS" w:eastAsiaTheme="minorEastAsia" w:hAnsi="Trebuchet MS"/>
              <w:noProof/>
              <w:lang w:eastAsia="en-GB"/>
            </w:rPr>
          </w:pPr>
          <w:hyperlink w:anchor="_Toc52451871" w:history="1">
            <w:r w:rsidR="00EF722F" w:rsidRPr="00ED58A9">
              <w:rPr>
                <w:rStyle w:val="Hyperlink"/>
                <w:rFonts w:ascii="Trebuchet MS" w:hAnsi="Trebuchet MS"/>
                <w:noProof/>
              </w:rPr>
              <w:t>3.1.</w:t>
            </w:r>
            <w:r w:rsidR="00EF722F" w:rsidRPr="00ED58A9">
              <w:rPr>
                <w:rFonts w:ascii="Trebuchet MS" w:eastAsiaTheme="minorEastAsia" w:hAnsi="Trebuchet MS"/>
                <w:noProof/>
                <w:lang w:eastAsia="en-GB"/>
              </w:rPr>
              <w:tab/>
            </w:r>
            <w:r w:rsidR="00EF722F" w:rsidRPr="00ED58A9">
              <w:rPr>
                <w:rStyle w:val="Hyperlink"/>
                <w:rFonts w:ascii="Trebuchet MS" w:hAnsi="Trebuchet MS"/>
                <w:noProof/>
              </w:rPr>
              <w:t>Transferring business</w:t>
            </w:r>
            <w:r w:rsidR="00EF722F" w:rsidRPr="00ED58A9">
              <w:rPr>
                <w:rFonts w:ascii="Trebuchet MS" w:hAnsi="Trebuchet MS"/>
                <w:noProof/>
                <w:webHidden/>
              </w:rPr>
              <w:tab/>
            </w:r>
            <w:r w:rsidR="00EF722F" w:rsidRPr="00ED58A9">
              <w:rPr>
                <w:rFonts w:ascii="Trebuchet MS" w:hAnsi="Trebuchet MS"/>
                <w:noProof/>
                <w:webHidden/>
              </w:rPr>
              <w:fldChar w:fldCharType="begin"/>
            </w:r>
            <w:r w:rsidR="00EF722F" w:rsidRPr="00ED58A9">
              <w:rPr>
                <w:rFonts w:ascii="Trebuchet MS" w:hAnsi="Trebuchet MS"/>
                <w:noProof/>
                <w:webHidden/>
              </w:rPr>
              <w:instrText xml:space="preserve"> PAGEREF _Toc52451871 \h </w:instrText>
            </w:r>
            <w:r w:rsidR="00EF722F" w:rsidRPr="00ED58A9">
              <w:rPr>
                <w:rFonts w:ascii="Trebuchet MS" w:hAnsi="Trebuchet MS"/>
                <w:noProof/>
                <w:webHidden/>
              </w:rPr>
            </w:r>
            <w:r w:rsidR="00EF722F" w:rsidRPr="00ED58A9">
              <w:rPr>
                <w:rFonts w:ascii="Trebuchet MS" w:hAnsi="Trebuchet MS"/>
                <w:noProof/>
                <w:webHidden/>
              </w:rPr>
              <w:fldChar w:fldCharType="separate"/>
            </w:r>
            <w:r w:rsidR="00AA475A">
              <w:rPr>
                <w:rFonts w:ascii="Trebuchet MS" w:hAnsi="Trebuchet MS"/>
                <w:noProof/>
                <w:webHidden/>
              </w:rPr>
              <w:t>8</w:t>
            </w:r>
            <w:r w:rsidR="00EF722F" w:rsidRPr="00ED58A9">
              <w:rPr>
                <w:rFonts w:ascii="Trebuchet MS" w:hAnsi="Trebuchet MS"/>
                <w:noProof/>
                <w:webHidden/>
              </w:rPr>
              <w:fldChar w:fldCharType="end"/>
            </w:r>
          </w:hyperlink>
        </w:p>
        <w:p w14:paraId="5B1D44CF" w14:textId="610E5D0F" w:rsidR="00EF722F" w:rsidRPr="00ED58A9" w:rsidRDefault="009D457A">
          <w:pPr>
            <w:pStyle w:val="TOC1"/>
            <w:rPr>
              <w:rFonts w:ascii="Trebuchet MS" w:eastAsiaTheme="minorEastAsia" w:hAnsi="Trebuchet MS"/>
              <w:noProof/>
              <w:lang w:eastAsia="en-GB"/>
            </w:rPr>
          </w:pPr>
          <w:hyperlink w:anchor="_Toc52451872" w:history="1">
            <w:r w:rsidR="00EF722F" w:rsidRPr="00ED58A9">
              <w:rPr>
                <w:rStyle w:val="Hyperlink"/>
                <w:rFonts w:ascii="Trebuchet MS" w:hAnsi="Trebuchet MS"/>
                <w:noProof/>
              </w:rPr>
              <w:t>3.2.</w:t>
            </w:r>
            <w:r w:rsidR="00EF722F" w:rsidRPr="00ED58A9">
              <w:rPr>
                <w:rFonts w:ascii="Trebuchet MS" w:eastAsiaTheme="minorEastAsia" w:hAnsi="Trebuchet MS"/>
                <w:noProof/>
                <w:lang w:eastAsia="en-GB"/>
              </w:rPr>
              <w:tab/>
            </w:r>
            <w:r w:rsidR="00EF722F" w:rsidRPr="00ED58A9">
              <w:rPr>
                <w:rStyle w:val="Hyperlink"/>
                <w:rFonts w:ascii="Trebuchet MS" w:hAnsi="Trebuchet MS"/>
                <w:noProof/>
              </w:rPr>
              <w:t>Non-Transferring business</w:t>
            </w:r>
            <w:r w:rsidR="00EF722F" w:rsidRPr="00ED58A9">
              <w:rPr>
                <w:rFonts w:ascii="Trebuchet MS" w:hAnsi="Trebuchet MS"/>
                <w:noProof/>
                <w:webHidden/>
              </w:rPr>
              <w:tab/>
            </w:r>
            <w:r w:rsidR="00EF722F" w:rsidRPr="00ED58A9">
              <w:rPr>
                <w:rFonts w:ascii="Trebuchet MS" w:hAnsi="Trebuchet MS"/>
                <w:noProof/>
                <w:webHidden/>
              </w:rPr>
              <w:fldChar w:fldCharType="begin"/>
            </w:r>
            <w:r w:rsidR="00EF722F" w:rsidRPr="00ED58A9">
              <w:rPr>
                <w:rFonts w:ascii="Trebuchet MS" w:hAnsi="Trebuchet MS"/>
                <w:noProof/>
                <w:webHidden/>
              </w:rPr>
              <w:instrText xml:space="preserve"> PAGEREF _Toc52451872 \h </w:instrText>
            </w:r>
            <w:r w:rsidR="00EF722F" w:rsidRPr="00ED58A9">
              <w:rPr>
                <w:rFonts w:ascii="Trebuchet MS" w:hAnsi="Trebuchet MS"/>
                <w:noProof/>
                <w:webHidden/>
              </w:rPr>
            </w:r>
            <w:r w:rsidR="00EF722F" w:rsidRPr="00ED58A9">
              <w:rPr>
                <w:rFonts w:ascii="Trebuchet MS" w:hAnsi="Trebuchet MS"/>
                <w:noProof/>
                <w:webHidden/>
              </w:rPr>
              <w:fldChar w:fldCharType="separate"/>
            </w:r>
            <w:r w:rsidR="00AA475A">
              <w:rPr>
                <w:rFonts w:ascii="Trebuchet MS" w:hAnsi="Trebuchet MS"/>
                <w:noProof/>
                <w:webHidden/>
              </w:rPr>
              <w:t>8</w:t>
            </w:r>
            <w:r w:rsidR="00EF722F" w:rsidRPr="00ED58A9">
              <w:rPr>
                <w:rFonts w:ascii="Trebuchet MS" w:hAnsi="Trebuchet MS"/>
                <w:noProof/>
                <w:webHidden/>
              </w:rPr>
              <w:fldChar w:fldCharType="end"/>
            </w:r>
          </w:hyperlink>
        </w:p>
        <w:p w14:paraId="0CE5AB78" w14:textId="606AB4D8" w:rsidR="00EF722F" w:rsidRPr="00ED58A9" w:rsidRDefault="009D457A">
          <w:pPr>
            <w:pStyle w:val="TOC1"/>
            <w:rPr>
              <w:rFonts w:ascii="Trebuchet MS" w:eastAsiaTheme="minorEastAsia" w:hAnsi="Trebuchet MS"/>
              <w:noProof/>
              <w:lang w:eastAsia="en-GB"/>
            </w:rPr>
          </w:pPr>
          <w:hyperlink w:anchor="_Toc52451873" w:history="1">
            <w:r w:rsidR="00EF722F" w:rsidRPr="00ED58A9">
              <w:rPr>
                <w:rStyle w:val="Hyperlink"/>
                <w:rFonts w:ascii="Trebuchet MS" w:hAnsi="Trebuchet MS"/>
                <w:noProof/>
              </w:rPr>
              <w:t>3.3.</w:t>
            </w:r>
            <w:r w:rsidR="00EF722F" w:rsidRPr="00ED58A9">
              <w:rPr>
                <w:rFonts w:ascii="Trebuchet MS" w:eastAsiaTheme="minorEastAsia" w:hAnsi="Trebuchet MS"/>
                <w:noProof/>
                <w:lang w:eastAsia="en-GB"/>
              </w:rPr>
              <w:tab/>
            </w:r>
            <w:r w:rsidR="00EF722F" w:rsidRPr="00ED58A9">
              <w:rPr>
                <w:rStyle w:val="Hyperlink"/>
                <w:rFonts w:ascii="Trebuchet MS" w:hAnsi="Trebuchet MS"/>
                <w:noProof/>
              </w:rPr>
              <w:t>Updates from Transferee</w:t>
            </w:r>
            <w:r w:rsidR="00EF722F" w:rsidRPr="00ED58A9">
              <w:rPr>
                <w:rFonts w:ascii="Trebuchet MS" w:hAnsi="Trebuchet MS"/>
                <w:noProof/>
                <w:webHidden/>
              </w:rPr>
              <w:tab/>
            </w:r>
            <w:r w:rsidR="00EF722F" w:rsidRPr="00ED58A9">
              <w:rPr>
                <w:rFonts w:ascii="Trebuchet MS" w:hAnsi="Trebuchet MS"/>
                <w:noProof/>
                <w:webHidden/>
              </w:rPr>
              <w:fldChar w:fldCharType="begin"/>
            </w:r>
            <w:r w:rsidR="00EF722F" w:rsidRPr="00ED58A9">
              <w:rPr>
                <w:rFonts w:ascii="Trebuchet MS" w:hAnsi="Trebuchet MS"/>
                <w:noProof/>
                <w:webHidden/>
              </w:rPr>
              <w:instrText xml:space="preserve"> PAGEREF _Toc52451873 \h </w:instrText>
            </w:r>
            <w:r w:rsidR="00EF722F" w:rsidRPr="00ED58A9">
              <w:rPr>
                <w:rFonts w:ascii="Trebuchet MS" w:hAnsi="Trebuchet MS"/>
                <w:noProof/>
                <w:webHidden/>
              </w:rPr>
            </w:r>
            <w:r w:rsidR="00EF722F" w:rsidRPr="00ED58A9">
              <w:rPr>
                <w:rFonts w:ascii="Trebuchet MS" w:hAnsi="Trebuchet MS"/>
                <w:noProof/>
                <w:webHidden/>
              </w:rPr>
              <w:fldChar w:fldCharType="separate"/>
            </w:r>
            <w:r w:rsidR="00AA475A">
              <w:rPr>
                <w:rFonts w:ascii="Trebuchet MS" w:hAnsi="Trebuchet MS"/>
                <w:noProof/>
                <w:webHidden/>
              </w:rPr>
              <w:t>8</w:t>
            </w:r>
            <w:r w:rsidR="00EF722F" w:rsidRPr="00ED58A9">
              <w:rPr>
                <w:rFonts w:ascii="Trebuchet MS" w:hAnsi="Trebuchet MS"/>
                <w:noProof/>
                <w:webHidden/>
              </w:rPr>
              <w:fldChar w:fldCharType="end"/>
            </w:r>
          </w:hyperlink>
        </w:p>
        <w:p w14:paraId="61EFCE25" w14:textId="7AF6AC89" w:rsidR="00EF722F" w:rsidRPr="00ED58A9" w:rsidRDefault="009D457A">
          <w:pPr>
            <w:pStyle w:val="TOC1"/>
            <w:rPr>
              <w:rFonts w:ascii="Trebuchet MS" w:eastAsiaTheme="minorEastAsia" w:hAnsi="Trebuchet MS"/>
              <w:noProof/>
              <w:lang w:eastAsia="en-GB"/>
            </w:rPr>
          </w:pPr>
          <w:hyperlink w:anchor="_Toc52451874" w:history="1">
            <w:r w:rsidR="00EF722F" w:rsidRPr="00ED58A9">
              <w:rPr>
                <w:rStyle w:val="Hyperlink"/>
                <w:rFonts w:ascii="Trebuchet MS" w:hAnsi="Trebuchet MS"/>
                <w:noProof/>
              </w:rPr>
              <w:t>4.</w:t>
            </w:r>
            <w:r w:rsidR="00EF722F" w:rsidRPr="00ED58A9">
              <w:rPr>
                <w:rFonts w:ascii="Trebuchet MS" w:eastAsiaTheme="minorEastAsia" w:hAnsi="Trebuchet MS"/>
                <w:noProof/>
                <w:lang w:eastAsia="en-GB"/>
              </w:rPr>
              <w:tab/>
            </w:r>
            <w:r w:rsidR="00EF722F" w:rsidRPr="00ED58A9">
              <w:rPr>
                <w:rStyle w:val="Hyperlink"/>
                <w:rFonts w:ascii="Trebuchet MS" w:hAnsi="Trebuchet MS"/>
                <w:noProof/>
              </w:rPr>
              <w:t>Update in Financial Position Before and After the Transfer</w:t>
            </w:r>
            <w:r w:rsidR="00EF722F" w:rsidRPr="00ED58A9">
              <w:rPr>
                <w:rFonts w:ascii="Trebuchet MS" w:hAnsi="Trebuchet MS"/>
                <w:noProof/>
                <w:webHidden/>
              </w:rPr>
              <w:tab/>
            </w:r>
            <w:r w:rsidR="00EF722F" w:rsidRPr="00ED58A9">
              <w:rPr>
                <w:rFonts w:ascii="Trebuchet MS" w:hAnsi="Trebuchet MS"/>
                <w:noProof/>
                <w:webHidden/>
              </w:rPr>
              <w:fldChar w:fldCharType="begin"/>
            </w:r>
            <w:r w:rsidR="00EF722F" w:rsidRPr="00ED58A9">
              <w:rPr>
                <w:rFonts w:ascii="Trebuchet MS" w:hAnsi="Trebuchet MS"/>
                <w:noProof/>
                <w:webHidden/>
              </w:rPr>
              <w:instrText xml:space="preserve"> PAGEREF _Toc52451874 \h </w:instrText>
            </w:r>
            <w:r w:rsidR="00EF722F" w:rsidRPr="00ED58A9">
              <w:rPr>
                <w:rFonts w:ascii="Trebuchet MS" w:hAnsi="Trebuchet MS"/>
                <w:noProof/>
                <w:webHidden/>
              </w:rPr>
            </w:r>
            <w:r w:rsidR="00EF722F" w:rsidRPr="00ED58A9">
              <w:rPr>
                <w:rFonts w:ascii="Trebuchet MS" w:hAnsi="Trebuchet MS"/>
                <w:noProof/>
                <w:webHidden/>
              </w:rPr>
              <w:fldChar w:fldCharType="separate"/>
            </w:r>
            <w:r w:rsidR="00AA475A">
              <w:rPr>
                <w:rFonts w:ascii="Trebuchet MS" w:hAnsi="Trebuchet MS"/>
                <w:noProof/>
                <w:webHidden/>
              </w:rPr>
              <w:t>9</w:t>
            </w:r>
            <w:r w:rsidR="00EF722F" w:rsidRPr="00ED58A9">
              <w:rPr>
                <w:rFonts w:ascii="Trebuchet MS" w:hAnsi="Trebuchet MS"/>
                <w:noProof/>
                <w:webHidden/>
              </w:rPr>
              <w:fldChar w:fldCharType="end"/>
            </w:r>
          </w:hyperlink>
        </w:p>
        <w:p w14:paraId="47C43A15" w14:textId="6C893F69" w:rsidR="00EF722F" w:rsidRPr="00ED58A9" w:rsidRDefault="009D457A">
          <w:pPr>
            <w:pStyle w:val="TOC1"/>
            <w:rPr>
              <w:rFonts w:ascii="Trebuchet MS" w:eastAsiaTheme="minorEastAsia" w:hAnsi="Trebuchet MS"/>
              <w:noProof/>
              <w:lang w:eastAsia="en-GB"/>
            </w:rPr>
          </w:pPr>
          <w:hyperlink w:anchor="_Toc52451875" w:history="1">
            <w:r w:rsidR="00EF722F" w:rsidRPr="00ED58A9">
              <w:rPr>
                <w:rStyle w:val="Hyperlink"/>
                <w:rFonts w:ascii="Trebuchet MS" w:hAnsi="Trebuchet MS"/>
                <w:noProof/>
              </w:rPr>
              <w:t>4.1.</w:t>
            </w:r>
            <w:r w:rsidR="00EF722F" w:rsidRPr="00ED58A9">
              <w:rPr>
                <w:rFonts w:ascii="Trebuchet MS" w:eastAsiaTheme="minorEastAsia" w:hAnsi="Trebuchet MS"/>
                <w:noProof/>
                <w:lang w:eastAsia="en-GB"/>
              </w:rPr>
              <w:tab/>
            </w:r>
            <w:r w:rsidR="00EF722F" w:rsidRPr="00ED58A9">
              <w:rPr>
                <w:rStyle w:val="Hyperlink"/>
                <w:rFonts w:ascii="Trebuchet MS" w:hAnsi="Trebuchet MS"/>
                <w:noProof/>
              </w:rPr>
              <w:t>Changes in key assumptions in forecasting the financial position</w:t>
            </w:r>
            <w:r w:rsidR="00EF722F" w:rsidRPr="00ED58A9">
              <w:rPr>
                <w:rFonts w:ascii="Trebuchet MS" w:hAnsi="Trebuchet MS"/>
                <w:noProof/>
                <w:webHidden/>
              </w:rPr>
              <w:tab/>
            </w:r>
            <w:r w:rsidR="00EF722F" w:rsidRPr="00ED58A9">
              <w:rPr>
                <w:rFonts w:ascii="Trebuchet MS" w:hAnsi="Trebuchet MS"/>
                <w:noProof/>
                <w:webHidden/>
              </w:rPr>
              <w:fldChar w:fldCharType="begin"/>
            </w:r>
            <w:r w:rsidR="00EF722F" w:rsidRPr="00ED58A9">
              <w:rPr>
                <w:rFonts w:ascii="Trebuchet MS" w:hAnsi="Trebuchet MS"/>
                <w:noProof/>
                <w:webHidden/>
              </w:rPr>
              <w:instrText xml:space="preserve"> PAGEREF _Toc52451875 \h </w:instrText>
            </w:r>
            <w:r w:rsidR="00EF722F" w:rsidRPr="00ED58A9">
              <w:rPr>
                <w:rFonts w:ascii="Trebuchet MS" w:hAnsi="Trebuchet MS"/>
                <w:noProof/>
                <w:webHidden/>
              </w:rPr>
            </w:r>
            <w:r w:rsidR="00EF722F" w:rsidRPr="00ED58A9">
              <w:rPr>
                <w:rFonts w:ascii="Trebuchet MS" w:hAnsi="Trebuchet MS"/>
                <w:noProof/>
                <w:webHidden/>
              </w:rPr>
              <w:fldChar w:fldCharType="separate"/>
            </w:r>
            <w:r w:rsidR="00AA475A">
              <w:rPr>
                <w:rFonts w:ascii="Trebuchet MS" w:hAnsi="Trebuchet MS"/>
                <w:noProof/>
                <w:webHidden/>
              </w:rPr>
              <w:t>9</w:t>
            </w:r>
            <w:r w:rsidR="00EF722F" w:rsidRPr="00ED58A9">
              <w:rPr>
                <w:rFonts w:ascii="Trebuchet MS" w:hAnsi="Trebuchet MS"/>
                <w:noProof/>
                <w:webHidden/>
              </w:rPr>
              <w:fldChar w:fldCharType="end"/>
            </w:r>
          </w:hyperlink>
        </w:p>
        <w:p w14:paraId="4DF50CE6" w14:textId="40D837C5" w:rsidR="00EF722F" w:rsidRPr="00ED58A9" w:rsidRDefault="009D457A">
          <w:pPr>
            <w:pStyle w:val="TOC1"/>
            <w:rPr>
              <w:rFonts w:ascii="Trebuchet MS" w:eastAsiaTheme="minorEastAsia" w:hAnsi="Trebuchet MS"/>
              <w:noProof/>
              <w:lang w:eastAsia="en-GB"/>
            </w:rPr>
          </w:pPr>
          <w:hyperlink w:anchor="_Toc52451876" w:history="1">
            <w:r w:rsidR="00EF722F" w:rsidRPr="00ED58A9">
              <w:rPr>
                <w:rStyle w:val="Hyperlink"/>
                <w:rFonts w:ascii="Trebuchet MS" w:hAnsi="Trebuchet MS"/>
                <w:noProof/>
              </w:rPr>
              <w:t>4.2.</w:t>
            </w:r>
            <w:r w:rsidR="00EF722F" w:rsidRPr="00ED58A9">
              <w:rPr>
                <w:rFonts w:ascii="Trebuchet MS" w:eastAsiaTheme="minorEastAsia" w:hAnsi="Trebuchet MS"/>
                <w:noProof/>
                <w:lang w:eastAsia="en-GB"/>
              </w:rPr>
              <w:tab/>
            </w:r>
            <w:r w:rsidR="00EF722F" w:rsidRPr="00ED58A9">
              <w:rPr>
                <w:rStyle w:val="Hyperlink"/>
                <w:rFonts w:ascii="Trebuchet MS" w:hAnsi="Trebuchet MS"/>
                <w:noProof/>
              </w:rPr>
              <w:t>Updated financials</w:t>
            </w:r>
            <w:r w:rsidR="00EF722F" w:rsidRPr="00ED58A9">
              <w:rPr>
                <w:rFonts w:ascii="Trebuchet MS" w:hAnsi="Trebuchet MS"/>
                <w:noProof/>
                <w:webHidden/>
              </w:rPr>
              <w:tab/>
            </w:r>
            <w:r w:rsidR="00EF722F" w:rsidRPr="00ED58A9">
              <w:rPr>
                <w:rFonts w:ascii="Trebuchet MS" w:hAnsi="Trebuchet MS"/>
                <w:noProof/>
                <w:webHidden/>
              </w:rPr>
              <w:fldChar w:fldCharType="begin"/>
            </w:r>
            <w:r w:rsidR="00EF722F" w:rsidRPr="00ED58A9">
              <w:rPr>
                <w:rFonts w:ascii="Trebuchet MS" w:hAnsi="Trebuchet MS"/>
                <w:noProof/>
                <w:webHidden/>
              </w:rPr>
              <w:instrText xml:space="preserve"> PAGEREF _Toc52451876 \h </w:instrText>
            </w:r>
            <w:r w:rsidR="00EF722F" w:rsidRPr="00ED58A9">
              <w:rPr>
                <w:rFonts w:ascii="Trebuchet MS" w:hAnsi="Trebuchet MS"/>
                <w:noProof/>
                <w:webHidden/>
              </w:rPr>
            </w:r>
            <w:r w:rsidR="00EF722F" w:rsidRPr="00ED58A9">
              <w:rPr>
                <w:rFonts w:ascii="Trebuchet MS" w:hAnsi="Trebuchet MS"/>
                <w:noProof/>
                <w:webHidden/>
              </w:rPr>
              <w:fldChar w:fldCharType="separate"/>
            </w:r>
            <w:r w:rsidR="00AA475A">
              <w:rPr>
                <w:rFonts w:ascii="Trebuchet MS" w:hAnsi="Trebuchet MS"/>
                <w:noProof/>
                <w:webHidden/>
              </w:rPr>
              <w:t>10</w:t>
            </w:r>
            <w:r w:rsidR="00EF722F" w:rsidRPr="00ED58A9">
              <w:rPr>
                <w:rFonts w:ascii="Trebuchet MS" w:hAnsi="Trebuchet MS"/>
                <w:noProof/>
                <w:webHidden/>
              </w:rPr>
              <w:fldChar w:fldCharType="end"/>
            </w:r>
          </w:hyperlink>
        </w:p>
        <w:p w14:paraId="4CFCA227" w14:textId="59579E2A" w:rsidR="00EF722F" w:rsidRPr="00ED58A9" w:rsidRDefault="009D457A">
          <w:pPr>
            <w:pStyle w:val="TOC1"/>
            <w:tabs>
              <w:tab w:val="left" w:pos="880"/>
            </w:tabs>
            <w:rPr>
              <w:rFonts w:ascii="Trebuchet MS" w:eastAsiaTheme="minorEastAsia" w:hAnsi="Trebuchet MS"/>
              <w:noProof/>
              <w:lang w:eastAsia="en-GB"/>
            </w:rPr>
          </w:pPr>
          <w:hyperlink w:anchor="_Toc52451877" w:history="1">
            <w:r w:rsidR="00EF722F" w:rsidRPr="00ED58A9">
              <w:rPr>
                <w:rStyle w:val="Hyperlink"/>
                <w:rFonts w:ascii="Trebuchet MS" w:hAnsi="Trebuchet MS"/>
                <w:noProof/>
              </w:rPr>
              <w:t>4.2.1.</w:t>
            </w:r>
            <w:r w:rsidR="00EF722F" w:rsidRPr="00ED58A9">
              <w:rPr>
                <w:rFonts w:ascii="Trebuchet MS" w:eastAsiaTheme="minorEastAsia" w:hAnsi="Trebuchet MS"/>
                <w:noProof/>
                <w:lang w:eastAsia="en-GB"/>
              </w:rPr>
              <w:tab/>
            </w:r>
            <w:r w:rsidR="00EF722F" w:rsidRPr="00ED58A9">
              <w:rPr>
                <w:rStyle w:val="Hyperlink"/>
                <w:rFonts w:ascii="Trebuchet MS" w:hAnsi="Trebuchet MS"/>
                <w:noProof/>
              </w:rPr>
              <w:t>Year End 2019 basis</w:t>
            </w:r>
            <w:r w:rsidR="00EF722F" w:rsidRPr="00ED58A9">
              <w:rPr>
                <w:rFonts w:ascii="Trebuchet MS" w:hAnsi="Trebuchet MS"/>
                <w:noProof/>
                <w:webHidden/>
              </w:rPr>
              <w:tab/>
            </w:r>
            <w:r w:rsidR="00EF722F" w:rsidRPr="00ED58A9">
              <w:rPr>
                <w:rFonts w:ascii="Trebuchet MS" w:hAnsi="Trebuchet MS"/>
                <w:noProof/>
                <w:webHidden/>
              </w:rPr>
              <w:fldChar w:fldCharType="begin"/>
            </w:r>
            <w:r w:rsidR="00EF722F" w:rsidRPr="00ED58A9">
              <w:rPr>
                <w:rFonts w:ascii="Trebuchet MS" w:hAnsi="Trebuchet MS"/>
                <w:noProof/>
                <w:webHidden/>
              </w:rPr>
              <w:instrText xml:space="preserve"> PAGEREF _Toc52451877 \h </w:instrText>
            </w:r>
            <w:r w:rsidR="00EF722F" w:rsidRPr="00ED58A9">
              <w:rPr>
                <w:rFonts w:ascii="Trebuchet MS" w:hAnsi="Trebuchet MS"/>
                <w:noProof/>
                <w:webHidden/>
              </w:rPr>
            </w:r>
            <w:r w:rsidR="00EF722F" w:rsidRPr="00ED58A9">
              <w:rPr>
                <w:rFonts w:ascii="Trebuchet MS" w:hAnsi="Trebuchet MS"/>
                <w:noProof/>
                <w:webHidden/>
              </w:rPr>
              <w:fldChar w:fldCharType="separate"/>
            </w:r>
            <w:r w:rsidR="00AA475A">
              <w:rPr>
                <w:rFonts w:ascii="Trebuchet MS" w:hAnsi="Trebuchet MS"/>
                <w:noProof/>
                <w:webHidden/>
              </w:rPr>
              <w:t>10</w:t>
            </w:r>
            <w:r w:rsidR="00EF722F" w:rsidRPr="00ED58A9">
              <w:rPr>
                <w:rFonts w:ascii="Trebuchet MS" w:hAnsi="Trebuchet MS"/>
                <w:noProof/>
                <w:webHidden/>
              </w:rPr>
              <w:fldChar w:fldCharType="end"/>
            </w:r>
          </w:hyperlink>
        </w:p>
        <w:p w14:paraId="12E5A0C4" w14:textId="01CE5A6B" w:rsidR="00EF722F" w:rsidRPr="00ED58A9" w:rsidRDefault="009D457A">
          <w:pPr>
            <w:pStyle w:val="TOC1"/>
            <w:tabs>
              <w:tab w:val="left" w:pos="880"/>
            </w:tabs>
            <w:rPr>
              <w:rFonts w:ascii="Trebuchet MS" w:eastAsiaTheme="minorEastAsia" w:hAnsi="Trebuchet MS"/>
              <w:noProof/>
              <w:lang w:eastAsia="en-GB"/>
            </w:rPr>
          </w:pPr>
          <w:hyperlink w:anchor="_Toc52451878" w:history="1">
            <w:r w:rsidR="00EF722F" w:rsidRPr="00ED58A9">
              <w:rPr>
                <w:rStyle w:val="Hyperlink"/>
                <w:rFonts w:ascii="Trebuchet MS" w:hAnsi="Trebuchet MS"/>
                <w:noProof/>
              </w:rPr>
              <w:t>4.2.2.</w:t>
            </w:r>
            <w:r w:rsidR="00EF722F" w:rsidRPr="00ED58A9">
              <w:rPr>
                <w:rFonts w:ascii="Trebuchet MS" w:eastAsiaTheme="minorEastAsia" w:hAnsi="Trebuchet MS"/>
                <w:noProof/>
                <w:lang w:eastAsia="en-GB"/>
              </w:rPr>
              <w:tab/>
            </w:r>
            <w:r w:rsidR="00EF722F" w:rsidRPr="00ED58A9">
              <w:rPr>
                <w:rStyle w:val="Hyperlink"/>
                <w:rFonts w:ascii="Trebuchet MS" w:hAnsi="Trebuchet MS"/>
                <w:noProof/>
              </w:rPr>
              <w:t>Year End 2019 with impact of COVID-19</w:t>
            </w:r>
            <w:r w:rsidR="00EF722F" w:rsidRPr="00ED58A9">
              <w:rPr>
                <w:rFonts w:ascii="Trebuchet MS" w:hAnsi="Trebuchet MS"/>
                <w:noProof/>
                <w:webHidden/>
              </w:rPr>
              <w:tab/>
            </w:r>
            <w:r w:rsidR="00EF722F" w:rsidRPr="00ED58A9">
              <w:rPr>
                <w:rFonts w:ascii="Trebuchet MS" w:hAnsi="Trebuchet MS"/>
                <w:noProof/>
                <w:webHidden/>
              </w:rPr>
              <w:fldChar w:fldCharType="begin"/>
            </w:r>
            <w:r w:rsidR="00EF722F" w:rsidRPr="00ED58A9">
              <w:rPr>
                <w:rFonts w:ascii="Trebuchet MS" w:hAnsi="Trebuchet MS"/>
                <w:noProof/>
                <w:webHidden/>
              </w:rPr>
              <w:instrText xml:space="preserve"> PAGEREF _Toc52451878 \h </w:instrText>
            </w:r>
            <w:r w:rsidR="00EF722F" w:rsidRPr="00ED58A9">
              <w:rPr>
                <w:rFonts w:ascii="Trebuchet MS" w:hAnsi="Trebuchet MS"/>
                <w:noProof/>
                <w:webHidden/>
              </w:rPr>
            </w:r>
            <w:r w:rsidR="00EF722F" w:rsidRPr="00ED58A9">
              <w:rPr>
                <w:rFonts w:ascii="Trebuchet MS" w:hAnsi="Trebuchet MS"/>
                <w:noProof/>
                <w:webHidden/>
              </w:rPr>
              <w:fldChar w:fldCharType="separate"/>
            </w:r>
            <w:r w:rsidR="00AA475A">
              <w:rPr>
                <w:rFonts w:ascii="Trebuchet MS" w:hAnsi="Trebuchet MS"/>
                <w:noProof/>
                <w:webHidden/>
              </w:rPr>
              <w:t>14</w:t>
            </w:r>
            <w:r w:rsidR="00EF722F" w:rsidRPr="00ED58A9">
              <w:rPr>
                <w:rFonts w:ascii="Trebuchet MS" w:hAnsi="Trebuchet MS"/>
                <w:noProof/>
                <w:webHidden/>
              </w:rPr>
              <w:fldChar w:fldCharType="end"/>
            </w:r>
          </w:hyperlink>
        </w:p>
        <w:p w14:paraId="0E553694" w14:textId="236D2C8D" w:rsidR="00EF722F" w:rsidRPr="00ED58A9" w:rsidRDefault="009D457A">
          <w:pPr>
            <w:pStyle w:val="TOC1"/>
            <w:tabs>
              <w:tab w:val="left" w:pos="880"/>
            </w:tabs>
            <w:rPr>
              <w:rFonts w:ascii="Trebuchet MS" w:eastAsiaTheme="minorEastAsia" w:hAnsi="Trebuchet MS"/>
              <w:noProof/>
              <w:lang w:eastAsia="en-GB"/>
            </w:rPr>
          </w:pPr>
          <w:hyperlink w:anchor="_Toc52451879" w:history="1">
            <w:r w:rsidR="00EF722F" w:rsidRPr="00ED58A9">
              <w:rPr>
                <w:rStyle w:val="Hyperlink"/>
                <w:rFonts w:ascii="Trebuchet MS" w:hAnsi="Trebuchet MS"/>
                <w:noProof/>
              </w:rPr>
              <w:t>4.2.3.</w:t>
            </w:r>
            <w:r w:rsidR="00EF722F" w:rsidRPr="00ED58A9">
              <w:rPr>
                <w:rFonts w:ascii="Trebuchet MS" w:eastAsiaTheme="minorEastAsia" w:hAnsi="Trebuchet MS"/>
                <w:noProof/>
                <w:lang w:eastAsia="en-GB"/>
              </w:rPr>
              <w:tab/>
            </w:r>
            <w:r w:rsidR="00EF722F" w:rsidRPr="00ED58A9">
              <w:rPr>
                <w:rStyle w:val="Hyperlink"/>
                <w:rFonts w:ascii="Trebuchet MS" w:hAnsi="Trebuchet MS"/>
                <w:noProof/>
              </w:rPr>
              <w:t>2Q20 position (with COVID-19)</w:t>
            </w:r>
            <w:r w:rsidR="00EF722F" w:rsidRPr="00ED58A9">
              <w:rPr>
                <w:rFonts w:ascii="Trebuchet MS" w:hAnsi="Trebuchet MS"/>
                <w:noProof/>
                <w:webHidden/>
              </w:rPr>
              <w:tab/>
            </w:r>
            <w:r w:rsidR="00EF722F" w:rsidRPr="00ED58A9">
              <w:rPr>
                <w:rFonts w:ascii="Trebuchet MS" w:hAnsi="Trebuchet MS"/>
                <w:noProof/>
                <w:webHidden/>
              </w:rPr>
              <w:fldChar w:fldCharType="begin"/>
            </w:r>
            <w:r w:rsidR="00EF722F" w:rsidRPr="00ED58A9">
              <w:rPr>
                <w:rFonts w:ascii="Trebuchet MS" w:hAnsi="Trebuchet MS"/>
                <w:noProof/>
                <w:webHidden/>
              </w:rPr>
              <w:instrText xml:space="preserve"> PAGEREF _Toc52451879 \h </w:instrText>
            </w:r>
            <w:r w:rsidR="00EF722F" w:rsidRPr="00ED58A9">
              <w:rPr>
                <w:rFonts w:ascii="Trebuchet MS" w:hAnsi="Trebuchet MS"/>
                <w:noProof/>
                <w:webHidden/>
              </w:rPr>
            </w:r>
            <w:r w:rsidR="00EF722F" w:rsidRPr="00ED58A9">
              <w:rPr>
                <w:rFonts w:ascii="Trebuchet MS" w:hAnsi="Trebuchet MS"/>
                <w:noProof/>
                <w:webHidden/>
              </w:rPr>
              <w:fldChar w:fldCharType="separate"/>
            </w:r>
            <w:r w:rsidR="00AA475A">
              <w:rPr>
                <w:rFonts w:ascii="Trebuchet MS" w:hAnsi="Trebuchet MS"/>
                <w:noProof/>
                <w:webHidden/>
              </w:rPr>
              <w:t>15</w:t>
            </w:r>
            <w:r w:rsidR="00EF722F" w:rsidRPr="00ED58A9">
              <w:rPr>
                <w:rFonts w:ascii="Trebuchet MS" w:hAnsi="Trebuchet MS"/>
                <w:noProof/>
                <w:webHidden/>
              </w:rPr>
              <w:fldChar w:fldCharType="end"/>
            </w:r>
          </w:hyperlink>
        </w:p>
        <w:p w14:paraId="761B8828" w14:textId="3A9BAF02" w:rsidR="00EF722F" w:rsidRPr="00ED58A9" w:rsidRDefault="009D457A">
          <w:pPr>
            <w:pStyle w:val="TOC1"/>
            <w:tabs>
              <w:tab w:val="left" w:pos="880"/>
            </w:tabs>
            <w:rPr>
              <w:rFonts w:ascii="Trebuchet MS" w:eastAsiaTheme="minorEastAsia" w:hAnsi="Trebuchet MS"/>
              <w:noProof/>
              <w:lang w:eastAsia="en-GB"/>
            </w:rPr>
          </w:pPr>
          <w:hyperlink w:anchor="_Toc52451880" w:history="1">
            <w:r w:rsidR="00EF722F" w:rsidRPr="00ED58A9">
              <w:rPr>
                <w:rStyle w:val="Hyperlink"/>
                <w:rFonts w:ascii="Trebuchet MS" w:hAnsi="Trebuchet MS"/>
                <w:noProof/>
              </w:rPr>
              <w:t>4.2.4.</w:t>
            </w:r>
            <w:r w:rsidR="00EF722F" w:rsidRPr="00ED58A9">
              <w:rPr>
                <w:rFonts w:ascii="Trebuchet MS" w:eastAsiaTheme="minorEastAsia" w:hAnsi="Trebuchet MS"/>
                <w:noProof/>
                <w:lang w:eastAsia="en-GB"/>
              </w:rPr>
              <w:tab/>
            </w:r>
            <w:r w:rsidR="00EF722F" w:rsidRPr="00ED58A9">
              <w:rPr>
                <w:rStyle w:val="Hyperlink"/>
                <w:rFonts w:ascii="Trebuchet MS" w:hAnsi="Trebuchet MS"/>
                <w:noProof/>
              </w:rPr>
              <w:t>3Q20 position (with COVID-19)</w:t>
            </w:r>
            <w:r w:rsidR="00EF722F" w:rsidRPr="00ED58A9">
              <w:rPr>
                <w:rFonts w:ascii="Trebuchet MS" w:hAnsi="Trebuchet MS"/>
                <w:noProof/>
                <w:webHidden/>
              </w:rPr>
              <w:tab/>
            </w:r>
            <w:r w:rsidR="00EF722F" w:rsidRPr="00ED58A9">
              <w:rPr>
                <w:rFonts w:ascii="Trebuchet MS" w:hAnsi="Trebuchet MS"/>
                <w:noProof/>
                <w:webHidden/>
              </w:rPr>
              <w:fldChar w:fldCharType="begin"/>
            </w:r>
            <w:r w:rsidR="00EF722F" w:rsidRPr="00ED58A9">
              <w:rPr>
                <w:rFonts w:ascii="Trebuchet MS" w:hAnsi="Trebuchet MS"/>
                <w:noProof/>
                <w:webHidden/>
              </w:rPr>
              <w:instrText xml:space="preserve"> PAGEREF _Toc52451880 \h </w:instrText>
            </w:r>
            <w:r w:rsidR="00EF722F" w:rsidRPr="00ED58A9">
              <w:rPr>
                <w:rFonts w:ascii="Trebuchet MS" w:hAnsi="Trebuchet MS"/>
                <w:noProof/>
                <w:webHidden/>
              </w:rPr>
            </w:r>
            <w:r w:rsidR="00EF722F" w:rsidRPr="00ED58A9">
              <w:rPr>
                <w:rFonts w:ascii="Trebuchet MS" w:hAnsi="Trebuchet MS"/>
                <w:noProof/>
                <w:webHidden/>
              </w:rPr>
              <w:fldChar w:fldCharType="separate"/>
            </w:r>
            <w:r w:rsidR="00AA475A">
              <w:rPr>
                <w:rFonts w:ascii="Trebuchet MS" w:hAnsi="Trebuchet MS"/>
                <w:noProof/>
                <w:webHidden/>
              </w:rPr>
              <w:t>15</w:t>
            </w:r>
            <w:r w:rsidR="00EF722F" w:rsidRPr="00ED58A9">
              <w:rPr>
                <w:rFonts w:ascii="Trebuchet MS" w:hAnsi="Trebuchet MS"/>
                <w:noProof/>
                <w:webHidden/>
              </w:rPr>
              <w:fldChar w:fldCharType="end"/>
            </w:r>
          </w:hyperlink>
        </w:p>
        <w:p w14:paraId="19434FCF" w14:textId="697DF004" w:rsidR="00EF722F" w:rsidRPr="00ED58A9" w:rsidRDefault="009D457A">
          <w:pPr>
            <w:pStyle w:val="TOC1"/>
            <w:rPr>
              <w:rFonts w:ascii="Trebuchet MS" w:eastAsiaTheme="minorEastAsia" w:hAnsi="Trebuchet MS"/>
              <w:noProof/>
              <w:lang w:eastAsia="en-GB"/>
            </w:rPr>
          </w:pPr>
          <w:hyperlink w:anchor="_Toc52451881" w:history="1">
            <w:r w:rsidR="00EF722F" w:rsidRPr="00ED58A9">
              <w:rPr>
                <w:rStyle w:val="Hyperlink"/>
                <w:rFonts w:ascii="Trebuchet MS" w:hAnsi="Trebuchet MS"/>
                <w:noProof/>
              </w:rPr>
              <w:t>5.</w:t>
            </w:r>
            <w:r w:rsidR="00EF722F" w:rsidRPr="00ED58A9">
              <w:rPr>
                <w:rFonts w:ascii="Trebuchet MS" w:eastAsiaTheme="minorEastAsia" w:hAnsi="Trebuchet MS"/>
                <w:noProof/>
                <w:lang w:eastAsia="en-GB"/>
              </w:rPr>
              <w:tab/>
            </w:r>
            <w:r w:rsidR="00EF722F" w:rsidRPr="00ED58A9">
              <w:rPr>
                <w:rStyle w:val="Hyperlink"/>
                <w:rFonts w:ascii="Trebuchet MS" w:hAnsi="Trebuchet MS"/>
                <w:noProof/>
              </w:rPr>
              <w:t>Latest position – as at date of supplementary report</w:t>
            </w:r>
            <w:r w:rsidR="00EF722F" w:rsidRPr="00ED58A9">
              <w:rPr>
                <w:rFonts w:ascii="Trebuchet MS" w:hAnsi="Trebuchet MS"/>
                <w:noProof/>
                <w:webHidden/>
              </w:rPr>
              <w:tab/>
            </w:r>
            <w:r w:rsidR="00EF722F" w:rsidRPr="00ED58A9">
              <w:rPr>
                <w:rFonts w:ascii="Trebuchet MS" w:hAnsi="Trebuchet MS"/>
                <w:noProof/>
                <w:webHidden/>
              </w:rPr>
              <w:fldChar w:fldCharType="begin"/>
            </w:r>
            <w:r w:rsidR="00EF722F" w:rsidRPr="00ED58A9">
              <w:rPr>
                <w:rFonts w:ascii="Trebuchet MS" w:hAnsi="Trebuchet MS"/>
                <w:noProof/>
                <w:webHidden/>
              </w:rPr>
              <w:instrText xml:space="preserve"> PAGEREF _Toc52451881 \h </w:instrText>
            </w:r>
            <w:r w:rsidR="00EF722F" w:rsidRPr="00ED58A9">
              <w:rPr>
                <w:rFonts w:ascii="Trebuchet MS" w:hAnsi="Trebuchet MS"/>
                <w:noProof/>
                <w:webHidden/>
              </w:rPr>
            </w:r>
            <w:r w:rsidR="00EF722F" w:rsidRPr="00ED58A9">
              <w:rPr>
                <w:rFonts w:ascii="Trebuchet MS" w:hAnsi="Trebuchet MS"/>
                <w:noProof/>
                <w:webHidden/>
              </w:rPr>
              <w:fldChar w:fldCharType="separate"/>
            </w:r>
            <w:r w:rsidR="00AA475A">
              <w:rPr>
                <w:rFonts w:ascii="Trebuchet MS" w:hAnsi="Trebuchet MS"/>
                <w:noProof/>
                <w:webHidden/>
              </w:rPr>
              <w:t>15</w:t>
            </w:r>
            <w:r w:rsidR="00EF722F" w:rsidRPr="00ED58A9">
              <w:rPr>
                <w:rFonts w:ascii="Trebuchet MS" w:hAnsi="Trebuchet MS"/>
                <w:noProof/>
                <w:webHidden/>
              </w:rPr>
              <w:fldChar w:fldCharType="end"/>
            </w:r>
          </w:hyperlink>
        </w:p>
        <w:p w14:paraId="4659739E" w14:textId="4F882A11" w:rsidR="00EF722F" w:rsidRPr="00ED58A9" w:rsidRDefault="009D457A">
          <w:pPr>
            <w:pStyle w:val="TOC1"/>
            <w:rPr>
              <w:rFonts w:ascii="Trebuchet MS" w:eastAsiaTheme="minorEastAsia" w:hAnsi="Trebuchet MS"/>
              <w:noProof/>
              <w:lang w:eastAsia="en-GB"/>
            </w:rPr>
          </w:pPr>
          <w:hyperlink w:anchor="_Toc52451882" w:history="1">
            <w:r w:rsidR="00EF722F" w:rsidRPr="00ED58A9">
              <w:rPr>
                <w:rStyle w:val="Hyperlink"/>
                <w:rFonts w:ascii="Trebuchet MS" w:hAnsi="Trebuchet MS"/>
                <w:noProof/>
              </w:rPr>
              <w:t>5.1.</w:t>
            </w:r>
            <w:r w:rsidR="00EF722F" w:rsidRPr="00ED58A9">
              <w:rPr>
                <w:rFonts w:ascii="Trebuchet MS" w:eastAsiaTheme="minorEastAsia" w:hAnsi="Trebuchet MS"/>
                <w:noProof/>
                <w:lang w:eastAsia="en-GB"/>
              </w:rPr>
              <w:tab/>
            </w:r>
            <w:r w:rsidR="00EF722F" w:rsidRPr="00ED58A9">
              <w:rPr>
                <w:rStyle w:val="Hyperlink"/>
                <w:rFonts w:ascii="Trebuchet MS" w:hAnsi="Trebuchet MS"/>
                <w:noProof/>
              </w:rPr>
              <w:t>Liabilities to be transferred as at 4Q19 (update)</w:t>
            </w:r>
            <w:r w:rsidR="00EF722F" w:rsidRPr="00ED58A9">
              <w:rPr>
                <w:rFonts w:ascii="Trebuchet MS" w:hAnsi="Trebuchet MS"/>
                <w:noProof/>
                <w:webHidden/>
              </w:rPr>
              <w:tab/>
            </w:r>
            <w:r w:rsidR="00EF722F" w:rsidRPr="00ED58A9">
              <w:rPr>
                <w:rFonts w:ascii="Trebuchet MS" w:hAnsi="Trebuchet MS"/>
                <w:noProof/>
                <w:webHidden/>
              </w:rPr>
              <w:fldChar w:fldCharType="begin"/>
            </w:r>
            <w:r w:rsidR="00EF722F" w:rsidRPr="00ED58A9">
              <w:rPr>
                <w:rFonts w:ascii="Trebuchet MS" w:hAnsi="Trebuchet MS"/>
                <w:noProof/>
                <w:webHidden/>
              </w:rPr>
              <w:instrText xml:space="preserve"> PAGEREF _Toc52451882 \h </w:instrText>
            </w:r>
            <w:r w:rsidR="00EF722F" w:rsidRPr="00ED58A9">
              <w:rPr>
                <w:rFonts w:ascii="Trebuchet MS" w:hAnsi="Trebuchet MS"/>
                <w:noProof/>
                <w:webHidden/>
              </w:rPr>
            </w:r>
            <w:r w:rsidR="00EF722F" w:rsidRPr="00ED58A9">
              <w:rPr>
                <w:rFonts w:ascii="Trebuchet MS" w:hAnsi="Trebuchet MS"/>
                <w:noProof/>
                <w:webHidden/>
              </w:rPr>
              <w:fldChar w:fldCharType="separate"/>
            </w:r>
            <w:r w:rsidR="00AA475A">
              <w:rPr>
                <w:rFonts w:ascii="Trebuchet MS" w:hAnsi="Trebuchet MS"/>
                <w:noProof/>
                <w:webHidden/>
              </w:rPr>
              <w:t>15</w:t>
            </w:r>
            <w:r w:rsidR="00EF722F" w:rsidRPr="00ED58A9">
              <w:rPr>
                <w:rFonts w:ascii="Trebuchet MS" w:hAnsi="Trebuchet MS"/>
                <w:noProof/>
                <w:webHidden/>
              </w:rPr>
              <w:fldChar w:fldCharType="end"/>
            </w:r>
          </w:hyperlink>
        </w:p>
        <w:p w14:paraId="70B54FCF" w14:textId="08698AFB" w:rsidR="00EF722F" w:rsidRPr="00ED58A9" w:rsidRDefault="009D457A">
          <w:pPr>
            <w:pStyle w:val="TOC1"/>
            <w:rPr>
              <w:rFonts w:ascii="Trebuchet MS" w:eastAsiaTheme="minorEastAsia" w:hAnsi="Trebuchet MS"/>
              <w:noProof/>
              <w:lang w:eastAsia="en-GB"/>
            </w:rPr>
          </w:pPr>
          <w:hyperlink w:anchor="_Toc52451883" w:history="1">
            <w:r w:rsidR="00EF722F" w:rsidRPr="00ED58A9">
              <w:rPr>
                <w:rStyle w:val="Hyperlink"/>
                <w:rFonts w:ascii="Trebuchet MS" w:hAnsi="Trebuchet MS"/>
                <w:noProof/>
              </w:rPr>
              <w:t>5.2.</w:t>
            </w:r>
            <w:r w:rsidR="00EF722F" w:rsidRPr="00ED58A9">
              <w:rPr>
                <w:rFonts w:ascii="Trebuchet MS" w:eastAsiaTheme="minorEastAsia" w:hAnsi="Trebuchet MS"/>
                <w:noProof/>
                <w:lang w:eastAsia="en-GB"/>
              </w:rPr>
              <w:tab/>
            </w:r>
            <w:r w:rsidR="00EF722F" w:rsidRPr="00ED58A9">
              <w:rPr>
                <w:rStyle w:val="Hyperlink"/>
                <w:rFonts w:ascii="Trebuchet MS" w:hAnsi="Trebuchet MS"/>
                <w:noProof/>
              </w:rPr>
              <w:t>Liabilities to be transferred as at 2Q20</w:t>
            </w:r>
            <w:r w:rsidR="00EF722F" w:rsidRPr="00ED58A9">
              <w:rPr>
                <w:rFonts w:ascii="Trebuchet MS" w:hAnsi="Trebuchet MS"/>
                <w:noProof/>
                <w:webHidden/>
              </w:rPr>
              <w:tab/>
            </w:r>
            <w:r w:rsidR="00EF722F" w:rsidRPr="00ED58A9">
              <w:rPr>
                <w:rFonts w:ascii="Trebuchet MS" w:hAnsi="Trebuchet MS"/>
                <w:noProof/>
                <w:webHidden/>
              </w:rPr>
              <w:fldChar w:fldCharType="begin"/>
            </w:r>
            <w:r w:rsidR="00EF722F" w:rsidRPr="00ED58A9">
              <w:rPr>
                <w:rFonts w:ascii="Trebuchet MS" w:hAnsi="Trebuchet MS"/>
                <w:noProof/>
                <w:webHidden/>
              </w:rPr>
              <w:instrText xml:space="preserve"> PAGEREF _Toc52451883 \h </w:instrText>
            </w:r>
            <w:r w:rsidR="00EF722F" w:rsidRPr="00ED58A9">
              <w:rPr>
                <w:rFonts w:ascii="Trebuchet MS" w:hAnsi="Trebuchet MS"/>
                <w:noProof/>
                <w:webHidden/>
              </w:rPr>
            </w:r>
            <w:r w:rsidR="00EF722F" w:rsidRPr="00ED58A9">
              <w:rPr>
                <w:rFonts w:ascii="Trebuchet MS" w:hAnsi="Trebuchet MS"/>
                <w:noProof/>
                <w:webHidden/>
              </w:rPr>
              <w:fldChar w:fldCharType="separate"/>
            </w:r>
            <w:r w:rsidR="00AA475A">
              <w:rPr>
                <w:rFonts w:ascii="Trebuchet MS" w:hAnsi="Trebuchet MS"/>
                <w:noProof/>
                <w:webHidden/>
              </w:rPr>
              <w:t>17</w:t>
            </w:r>
            <w:r w:rsidR="00EF722F" w:rsidRPr="00ED58A9">
              <w:rPr>
                <w:rFonts w:ascii="Trebuchet MS" w:hAnsi="Trebuchet MS"/>
                <w:noProof/>
                <w:webHidden/>
              </w:rPr>
              <w:fldChar w:fldCharType="end"/>
            </w:r>
          </w:hyperlink>
        </w:p>
        <w:p w14:paraId="76C3A91D" w14:textId="71516073" w:rsidR="00EF722F" w:rsidRPr="00ED58A9" w:rsidRDefault="009D457A">
          <w:pPr>
            <w:pStyle w:val="TOC1"/>
            <w:rPr>
              <w:rFonts w:ascii="Trebuchet MS" w:eastAsiaTheme="minorEastAsia" w:hAnsi="Trebuchet MS"/>
              <w:noProof/>
              <w:lang w:eastAsia="en-GB"/>
            </w:rPr>
          </w:pPr>
          <w:hyperlink w:anchor="_Toc52451884" w:history="1">
            <w:r w:rsidR="00EF722F" w:rsidRPr="00ED58A9">
              <w:rPr>
                <w:rStyle w:val="Hyperlink"/>
                <w:rFonts w:ascii="Trebuchet MS" w:hAnsi="Trebuchet MS"/>
                <w:noProof/>
              </w:rPr>
              <w:t>5.3.</w:t>
            </w:r>
            <w:r w:rsidR="00EF722F" w:rsidRPr="00ED58A9">
              <w:rPr>
                <w:rFonts w:ascii="Trebuchet MS" w:eastAsiaTheme="minorEastAsia" w:hAnsi="Trebuchet MS"/>
                <w:noProof/>
                <w:lang w:eastAsia="en-GB"/>
              </w:rPr>
              <w:tab/>
            </w:r>
            <w:r w:rsidR="00EF722F" w:rsidRPr="00ED58A9">
              <w:rPr>
                <w:rStyle w:val="Hyperlink"/>
                <w:rFonts w:ascii="Trebuchet MS" w:hAnsi="Trebuchet MS"/>
                <w:noProof/>
              </w:rPr>
              <w:t>Reinsurance</w:t>
            </w:r>
            <w:r w:rsidR="00EF722F" w:rsidRPr="00ED58A9">
              <w:rPr>
                <w:rFonts w:ascii="Trebuchet MS" w:hAnsi="Trebuchet MS"/>
                <w:noProof/>
                <w:webHidden/>
              </w:rPr>
              <w:tab/>
            </w:r>
            <w:r w:rsidR="00EF722F" w:rsidRPr="00ED58A9">
              <w:rPr>
                <w:rFonts w:ascii="Trebuchet MS" w:hAnsi="Trebuchet MS"/>
                <w:noProof/>
                <w:webHidden/>
              </w:rPr>
              <w:fldChar w:fldCharType="begin"/>
            </w:r>
            <w:r w:rsidR="00EF722F" w:rsidRPr="00ED58A9">
              <w:rPr>
                <w:rFonts w:ascii="Trebuchet MS" w:hAnsi="Trebuchet MS"/>
                <w:noProof/>
                <w:webHidden/>
              </w:rPr>
              <w:instrText xml:space="preserve"> PAGEREF _Toc52451884 \h </w:instrText>
            </w:r>
            <w:r w:rsidR="00EF722F" w:rsidRPr="00ED58A9">
              <w:rPr>
                <w:rFonts w:ascii="Trebuchet MS" w:hAnsi="Trebuchet MS"/>
                <w:noProof/>
                <w:webHidden/>
              </w:rPr>
            </w:r>
            <w:r w:rsidR="00EF722F" w:rsidRPr="00ED58A9">
              <w:rPr>
                <w:rFonts w:ascii="Trebuchet MS" w:hAnsi="Trebuchet MS"/>
                <w:noProof/>
                <w:webHidden/>
              </w:rPr>
              <w:fldChar w:fldCharType="separate"/>
            </w:r>
            <w:r w:rsidR="00AA475A">
              <w:rPr>
                <w:rFonts w:ascii="Trebuchet MS" w:hAnsi="Trebuchet MS"/>
                <w:noProof/>
                <w:webHidden/>
              </w:rPr>
              <w:t>18</w:t>
            </w:r>
            <w:r w:rsidR="00EF722F" w:rsidRPr="00ED58A9">
              <w:rPr>
                <w:rFonts w:ascii="Trebuchet MS" w:hAnsi="Trebuchet MS"/>
                <w:noProof/>
                <w:webHidden/>
              </w:rPr>
              <w:fldChar w:fldCharType="end"/>
            </w:r>
          </w:hyperlink>
        </w:p>
        <w:p w14:paraId="4B3BB38C" w14:textId="1DD6E7F7" w:rsidR="00EF722F" w:rsidRPr="00ED58A9" w:rsidRDefault="009D457A">
          <w:pPr>
            <w:pStyle w:val="TOC1"/>
            <w:rPr>
              <w:rFonts w:ascii="Trebuchet MS" w:eastAsiaTheme="minorEastAsia" w:hAnsi="Trebuchet MS"/>
              <w:noProof/>
              <w:lang w:eastAsia="en-GB"/>
            </w:rPr>
          </w:pPr>
          <w:hyperlink w:anchor="_Toc52451885" w:history="1">
            <w:r w:rsidR="00EF722F" w:rsidRPr="00ED58A9">
              <w:rPr>
                <w:rStyle w:val="Hyperlink"/>
                <w:rFonts w:ascii="Trebuchet MS" w:hAnsi="Trebuchet MS"/>
                <w:noProof/>
              </w:rPr>
              <w:t>5.4.</w:t>
            </w:r>
            <w:r w:rsidR="00EF722F" w:rsidRPr="00ED58A9">
              <w:rPr>
                <w:rFonts w:ascii="Trebuchet MS" w:eastAsiaTheme="minorEastAsia" w:hAnsi="Trebuchet MS"/>
                <w:noProof/>
                <w:lang w:eastAsia="en-GB"/>
              </w:rPr>
              <w:tab/>
            </w:r>
            <w:r w:rsidR="00EF722F" w:rsidRPr="00ED58A9">
              <w:rPr>
                <w:rStyle w:val="Hyperlink"/>
                <w:rFonts w:ascii="Trebuchet MS" w:hAnsi="Trebuchet MS"/>
                <w:noProof/>
              </w:rPr>
              <w:t>Assets to be transferred</w:t>
            </w:r>
            <w:r w:rsidR="00EF722F" w:rsidRPr="00ED58A9">
              <w:rPr>
                <w:rFonts w:ascii="Trebuchet MS" w:hAnsi="Trebuchet MS"/>
                <w:noProof/>
                <w:webHidden/>
              </w:rPr>
              <w:tab/>
            </w:r>
            <w:r w:rsidR="00EF722F" w:rsidRPr="00ED58A9">
              <w:rPr>
                <w:rFonts w:ascii="Trebuchet MS" w:hAnsi="Trebuchet MS"/>
                <w:noProof/>
                <w:webHidden/>
              </w:rPr>
              <w:fldChar w:fldCharType="begin"/>
            </w:r>
            <w:r w:rsidR="00EF722F" w:rsidRPr="00ED58A9">
              <w:rPr>
                <w:rFonts w:ascii="Trebuchet MS" w:hAnsi="Trebuchet MS"/>
                <w:noProof/>
                <w:webHidden/>
              </w:rPr>
              <w:instrText xml:space="preserve"> PAGEREF _Toc52451885 \h </w:instrText>
            </w:r>
            <w:r w:rsidR="00EF722F" w:rsidRPr="00ED58A9">
              <w:rPr>
                <w:rFonts w:ascii="Trebuchet MS" w:hAnsi="Trebuchet MS"/>
                <w:noProof/>
                <w:webHidden/>
              </w:rPr>
            </w:r>
            <w:r w:rsidR="00EF722F" w:rsidRPr="00ED58A9">
              <w:rPr>
                <w:rFonts w:ascii="Trebuchet MS" w:hAnsi="Trebuchet MS"/>
                <w:noProof/>
                <w:webHidden/>
              </w:rPr>
              <w:fldChar w:fldCharType="separate"/>
            </w:r>
            <w:r w:rsidR="00AA475A">
              <w:rPr>
                <w:rFonts w:ascii="Trebuchet MS" w:hAnsi="Trebuchet MS"/>
                <w:noProof/>
                <w:webHidden/>
              </w:rPr>
              <w:t>18</w:t>
            </w:r>
            <w:r w:rsidR="00EF722F" w:rsidRPr="00ED58A9">
              <w:rPr>
                <w:rFonts w:ascii="Trebuchet MS" w:hAnsi="Trebuchet MS"/>
                <w:noProof/>
                <w:webHidden/>
              </w:rPr>
              <w:fldChar w:fldCharType="end"/>
            </w:r>
          </w:hyperlink>
        </w:p>
        <w:p w14:paraId="4C63DEFF" w14:textId="502993AC" w:rsidR="00EF722F" w:rsidRPr="00ED58A9" w:rsidRDefault="009D457A">
          <w:pPr>
            <w:pStyle w:val="TOC1"/>
            <w:rPr>
              <w:rFonts w:ascii="Trebuchet MS" w:eastAsiaTheme="minorEastAsia" w:hAnsi="Trebuchet MS"/>
              <w:noProof/>
              <w:lang w:eastAsia="en-GB"/>
            </w:rPr>
          </w:pPr>
          <w:hyperlink w:anchor="_Toc52451886" w:history="1">
            <w:r w:rsidR="00EF722F" w:rsidRPr="00ED58A9">
              <w:rPr>
                <w:rStyle w:val="Hyperlink"/>
                <w:rFonts w:ascii="Trebuchet MS" w:hAnsi="Trebuchet MS"/>
                <w:noProof/>
              </w:rPr>
              <w:t>5.5.</w:t>
            </w:r>
            <w:r w:rsidR="00EF722F" w:rsidRPr="00ED58A9">
              <w:rPr>
                <w:rFonts w:ascii="Trebuchet MS" w:eastAsiaTheme="minorEastAsia" w:hAnsi="Trebuchet MS"/>
                <w:noProof/>
                <w:lang w:eastAsia="en-GB"/>
              </w:rPr>
              <w:tab/>
            </w:r>
            <w:r w:rsidR="00EF722F" w:rsidRPr="00ED58A9">
              <w:rPr>
                <w:rStyle w:val="Hyperlink"/>
                <w:rFonts w:ascii="Trebuchet MS" w:hAnsi="Trebuchet MS"/>
                <w:noProof/>
              </w:rPr>
              <w:t>Capital position</w:t>
            </w:r>
            <w:r w:rsidR="00EF722F" w:rsidRPr="00ED58A9">
              <w:rPr>
                <w:rFonts w:ascii="Trebuchet MS" w:hAnsi="Trebuchet MS"/>
                <w:noProof/>
                <w:webHidden/>
              </w:rPr>
              <w:tab/>
            </w:r>
            <w:r w:rsidR="00EF722F" w:rsidRPr="00ED58A9">
              <w:rPr>
                <w:rFonts w:ascii="Trebuchet MS" w:hAnsi="Trebuchet MS"/>
                <w:noProof/>
                <w:webHidden/>
              </w:rPr>
              <w:fldChar w:fldCharType="begin"/>
            </w:r>
            <w:r w:rsidR="00EF722F" w:rsidRPr="00ED58A9">
              <w:rPr>
                <w:rFonts w:ascii="Trebuchet MS" w:hAnsi="Trebuchet MS"/>
                <w:noProof/>
                <w:webHidden/>
              </w:rPr>
              <w:instrText xml:space="preserve"> PAGEREF _Toc52451886 \h </w:instrText>
            </w:r>
            <w:r w:rsidR="00EF722F" w:rsidRPr="00ED58A9">
              <w:rPr>
                <w:rFonts w:ascii="Trebuchet MS" w:hAnsi="Trebuchet MS"/>
                <w:noProof/>
                <w:webHidden/>
              </w:rPr>
            </w:r>
            <w:r w:rsidR="00EF722F" w:rsidRPr="00ED58A9">
              <w:rPr>
                <w:rFonts w:ascii="Trebuchet MS" w:hAnsi="Trebuchet MS"/>
                <w:noProof/>
                <w:webHidden/>
              </w:rPr>
              <w:fldChar w:fldCharType="separate"/>
            </w:r>
            <w:r w:rsidR="00AA475A">
              <w:rPr>
                <w:rFonts w:ascii="Trebuchet MS" w:hAnsi="Trebuchet MS"/>
                <w:noProof/>
                <w:webHidden/>
              </w:rPr>
              <w:t>18</w:t>
            </w:r>
            <w:r w:rsidR="00EF722F" w:rsidRPr="00ED58A9">
              <w:rPr>
                <w:rFonts w:ascii="Trebuchet MS" w:hAnsi="Trebuchet MS"/>
                <w:noProof/>
                <w:webHidden/>
              </w:rPr>
              <w:fldChar w:fldCharType="end"/>
            </w:r>
          </w:hyperlink>
        </w:p>
        <w:p w14:paraId="2E6EAE03" w14:textId="0171BF52" w:rsidR="00EF722F" w:rsidRPr="00ED58A9" w:rsidRDefault="009D457A">
          <w:pPr>
            <w:pStyle w:val="TOC1"/>
            <w:rPr>
              <w:rFonts w:ascii="Trebuchet MS" w:eastAsiaTheme="minorEastAsia" w:hAnsi="Trebuchet MS"/>
              <w:noProof/>
              <w:lang w:eastAsia="en-GB"/>
            </w:rPr>
          </w:pPr>
          <w:hyperlink w:anchor="_Toc52451887" w:history="1">
            <w:r w:rsidR="00EF722F" w:rsidRPr="00ED58A9">
              <w:rPr>
                <w:rStyle w:val="Hyperlink"/>
                <w:rFonts w:ascii="Trebuchet MS" w:hAnsi="Trebuchet MS"/>
                <w:noProof/>
              </w:rPr>
              <w:t>6.</w:t>
            </w:r>
            <w:r w:rsidR="00EF722F" w:rsidRPr="00ED58A9">
              <w:rPr>
                <w:rFonts w:ascii="Trebuchet MS" w:eastAsiaTheme="minorEastAsia" w:hAnsi="Trebuchet MS"/>
                <w:noProof/>
                <w:lang w:eastAsia="en-GB"/>
              </w:rPr>
              <w:tab/>
            </w:r>
            <w:r w:rsidR="00EF722F" w:rsidRPr="00ED58A9">
              <w:rPr>
                <w:rStyle w:val="Hyperlink"/>
                <w:rFonts w:ascii="Trebuchet MS" w:hAnsi="Trebuchet MS"/>
                <w:noProof/>
              </w:rPr>
              <w:t>Tax impact</w:t>
            </w:r>
            <w:r w:rsidR="00EF722F" w:rsidRPr="00ED58A9">
              <w:rPr>
                <w:rFonts w:ascii="Trebuchet MS" w:hAnsi="Trebuchet MS"/>
                <w:noProof/>
                <w:webHidden/>
              </w:rPr>
              <w:tab/>
            </w:r>
            <w:r w:rsidR="00EF722F" w:rsidRPr="00ED58A9">
              <w:rPr>
                <w:rFonts w:ascii="Trebuchet MS" w:hAnsi="Trebuchet MS"/>
                <w:noProof/>
                <w:webHidden/>
              </w:rPr>
              <w:fldChar w:fldCharType="begin"/>
            </w:r>
            <w:r w:rsidR="00EF722F" w:rsidRPr="00ED58A9">
              <w:rPr>
                <w:rFonts w:ascii="Trebuchet MS" w:hAnsi="Trebuchet MS"/>
                <w:noProof/>
                <w:webHidden/>
              </w:rPr>
              <w:instrText xml:space="preserve"> PAGEREF _Toc52451887 \h </w:instrText>
            </w:r>
            <w:r w:rsidR="00EF722F" w:rsidRPr="00ED58A9">
              <w:rPr>
                <w:rFonts w:ascii="Trebuchet MS" w:hAnsi="Trebuchet MS"/>
                <w:noProof/>
                <w:webHidden/>
              </w:rPr>
            </w:r>
            <w:r w:rsidR="00EF722F" w:rsidRPr="00ED58A9">
              <w:rPr>
                <w:rFonts w:ascii="Trebuchet MS" w:hAnsi="Trebuchet MS"/>
                <w:noProof/>
                <w:webHidden/>
              </w:rPr>
              <w:fldChar w:fldCharType="separate"/>
            </w:r>
            <w:r w:rsidR="00AA475A">
              <w:rPr>
                <w:rFonts w:ascii="Trebuchet MS" w:hAnsi="Trebuchet MS"/>
                <w:noProof/>
                <w:webHidden/>
              </w:rPr>
              <w:t>19</w:t>
            </w:r>
            <w:r w:rsidR="00EF722F" w:rsidRPr="00ED58A9">
              <w:rPr>
                <w:rFonts w:ascii="Trebuchet MS" w:hAnsi="Trebuchet MS"/>
                <w:noProof/>
                <w:webHidden/>
              </w:rPr>
              <w:fldChar w:fldCharType="end"/>
            </w:r>
          </w:hyperlink>
        </w:p>
        <w:p w14:paraId="6716669B" w14:textId="480D6B3A" w:rsidR="00EF722F" w:rsidRPr="00ED58A9" w:rsidRDefault="009D457A">
          <w:pPr>
            <w:pStyle w:val="TOC1"/>
            <w:rPr>
              <w:rFonts w:ascii="Trebuchet MS" w:eastAsiaTheme="minorEastAsia" w:hAnsi="Trebuchet MS"/>
              <w:noProof/>
              <w:lang w:eastAsia="en-GB"/>
            </w:rPr>
          </w:pPr>
          <w:hyperlink w:anchor="_Toc52451888" w:history="1">
            <w:r w:rsidR="00EF722F" w:rsidRPr="00ED58A9">
              <w:rPr>
                <w:rStyle w:val="Hyperlink"/>
                <w:rFonts w:ascii="Trebuchet MS" w:hAnsi="Trebuchet MS"/>
                <w:noProof/>
              </w:rPr>
              <w:t>7.</w:t>
            </w:r>
            <w:r w:rsidR="00EF722F" w:rsidRPr="00ED58A9">
              <w:rPr>
                <w:rFonts w:ascii="Trebuchet MS" w:eastAsiaTheme="minorEastAsia" w:hAnsi="Trebuchet MS"/>
                <w:noProof/>
                <w:lang w:eastAsia="en-GB"/>
              </w:rPr>
              <w:tab/>
            </w:r>
            <w:r w:rsidR="00EF722F" w:rsidRPr="00ED58A9">
              <w:rPr>
                <w:rStyle w:val="Hyperlink"/>
                <w:rFonts w:ascii="Trebuchet MS" w:hAnsi="Trebuchet MS"/>
                <w:noProof/>
              </w:rPr>
              <w:t>Effect of the Scheme on Policyholders and Risk Profile</w:t>
            </w:r>
            <w:r w:rsidR="00EF722F" w:rsidRPr="00ED58A9">
              <w:rPr>
                <w:rFonts w:ascii="Trebuchet MS" w:hAnsi="Trebuchet MS"/>
                <w:noProof/>
                <w:webHidden/>
              </w:rPr>
              <w:tab/>
            </w:r>
            <w:r w:rsidR="00EF722F" w:rsidRPr="00ED58A9">
              <w:rPr>
                <w:rFonts w:ascii="Trebuchet MS" w:hAnsi="Trebuchet MS"/>
                <w:noProof/>
                <w:webHidden/>
              </w:rPr>
              <w:fldChar w:fldCharType="begin"/>
            </w:r>
            <w:r w:rsidR="00EF722F" w:rsidRPr="00ED58A9">
              <w:rPr>
                <w:rFonts w:ascii="Trebuchet MS" w:hAnsi="Trebuchet MS"/>
                <w:noProof/>
                <w:webHidden/>
              </w:rPr>
              <w:instrText xml:space="preserve"> PAGEREF _Toc52451888 \h </w:instrText>
            </w:r>
            <w:r w:rsidR="00EF722F" w:rsidRPr="00ED58A9">
              <w:rPr>
                <w:rFonts w:ascii="Trebuchet MS" w:hAnsi="Trebuchet MS"/>
                <w:noProof/>
                <w:webHidden/>
              </w:rPr>
            </w:r>
            <w:r w:rsidR="00EF722F" w:rsidRPr="00ED58A9">
              <w:rPr>
                <w:rFonts w:ascii="Trebuchet MS" w:hAnsi="Trebuchet MS"/>
                <w:noProof/>
                <w:webHidden/>
              </w:rPr>
              <w:fldChar w:fldCharType="separate"/>
            </w:r>
            <w:r w:rsidR="00AA475A">
              <w:rPr>
                <w:rFonts w:ascii="Trebuchet MS" w:hAnsi="Trebuchet MS"/>
                <w:noProof/>
                <w:webHidden/>
              </w:rPr>
              <w:t>20</w:t>
            </w:r>
            <w:r w:rsidR="00EF722F" w:rsidRPr="00ED58A9">
              <w:rPr>
                <w:rFonts w:ascii="Trebuchet MS" w:hAnsi="Trebuchet MS"/>
                <w:noProof/>
                <w:webHidden/>
              </w:rPr>
              <w:fldChar w:fldCharType="end"/>
            </w:r>
          </w:hyperlink>
        </w:p>
        <w:p w14:paraId="616B2704" w14:textId="745E5F67" w:rsidR="00EF722F" w:rsidRPr="00ED58A9" w:rsidRDefault="009D457A">
          <w:pPr>
            <w:pStyle w:val="TOC1"/>
            <w:rPr>
              <w:rFonts w:ascii="Trebuchet MS" w:eastAsiaTheme="minorEastAsia" w:hAnsi="Trebuchet MS"/>
              <w:noProof/>
              <w:lang w:eastAsia="en-GB"/>
            </w:rPr>
          </w:pPr>
          <w:hyperlink w:anchor="_Toc52451889" w:history="1">
            <w:r w:rsidR="00EF722F" w:rsidRPr="00ED58A9">
              <w:rPr>
                <w:rStyle w:val="Hyperlink"/>
                <w:rFonts w:ascii="Trebuchet MS" w:hAnsi="Trebuchet MS"/>
                <w:noProof/>
              </w:rPr>
              <w:t>7.1.</w:t>
            </w:r>
            <w:r w:rsidR="00EF722F" w:rsidRPr="00ED58A9">
              <w:rPr>
                <w:rFonts w:ascii="Trebuchet MS" w:eastAsiaTheme="minorEastAsia" w:hAnsi="Trebuchet MS"/>
                <w:noProof/>
                <w:lang w:eastAsia="en-GB"/>
              </w:rPr>
              <w:tab/>
            </w:r>
            <w:r w:rsidR="00EF722F" w:rsidRPr="00ED58A9">
              <w:rPr>
                <w:rStyle w:val="Hyperlink"/>
                <w:rFonts w:ascii="Trebuchet MS" w:hAnsi="Trebuchet MS"/>
                <w:noProof/>
              </w:rPr>
              <w:t>Financial security and risk profile of policyholders</w:t>
            </w:r>
            <w:r w:rsidR="00EF722F" w:rsidRPr="00ED58A9">
              <w:rPr>
                <w:rFonts w:ascii="Trebuchet MS" w:hAnsi="Trebuchet MS"/>
                <w:noProof/>
                <w:webHidden/>
              </w:rPr>
              <w:tab/>
            </w:r>
            <w:r w:rsidR="00EF722F" w:rsidRPr="00ED58A9">
              <w:rPr>
                <w:rFonts w:ascii="Trebuchet MS" w:hAnsi="Trebuchet MS"/>
                <w:noProof/>
                <w:webHidden/>
              </w:rPr>
              <w:fldChar w:fldCharType="begin"/>
            </w:r>
            <w:r w:rsidR="00EF722F" w:rsidRPr="00ED58A9">
              <w:rPr>
                <w:rFonts w:ascii="Trebuchet MS" w:hAnsi="Trebuchet MS"/>
                <w:noProof/>
                <w:webHidden/>
              </w:rPr>
              <w:instrText xml:space="preserve"> PAGEREF _Toc52451889 \h </w:instrText>
            </w:r>
            <w:r w:rsidR="00EF722F" w:rsidRPr="00ED58A9">
              <w:rPr>
                <w:rFonts w:ascii="Trebuchet MS" w:hAnsi="Trebuchet MS"/>
                <w:noProof/>
                <w:webHidden/>
              </w:rPr>
            </w:r>
            <w:r w:rsidR="00EF722F" w:rsidRPr="00ED58A9">
              <w:rPr>
                <w:rFonts w:ascii="Trebuchet MS" w:hAnsi="Trebuchet MS"/>
                <w:noProof/>
                <w:webHidden/>
              </w:rPr>
              <w:fldChar w:fldCharType="separate"/>
            </w:r>
            <w:r w:rsidR="00AA475A">
              <w:rPr>
                <w:rFonts w:ascii="Trebuchet MS" w:hAnsi="Trebuchet MS"/>
                <w:noProof/>
                <w:webHidden/>
              </w:rPr>
              <w:t>20</w:t>
            </w:r>
            <w:r w:rsidR="00EF722F" w:rsidRPr="00ED58A9">
              <w:rPr>
                <w:rFonts w:ascii="Trebuchet MS" w:hAnsi="Trebuchet MS"/>
                <w:noProof/>
                <w:webHidden/>
              </w:rPr>
              <w:fldChar w:fldCharType="end"/>
            </w:r>
          </w:hyperlink>
        </w:p>
        <w:p w14:paraId="66C4B511" w14:textId="14041F6B" w:rsidR="00EF722F" w:rsidRPr="00ED58A9" w:rsidRDefault="009D457A">
          <w:pPr>
            <w:pStyle w:val="TOC1"/>
            <w:rPr>
              <w:rFonts w:ascii="Trebuchet MS" w:eastAsiaTheme="minorEastAsia" w:hAnsi="Trebuchet MS"/>
              <w:noProof/>
              <w:lang w:eastAsia="en-GB"/>
            </w:rPr>
          </w:pPr>
          <w:hyperlink w:anchor="_Toc52451890" w:history="1">
            <w:r w:rsidR="00EF722F" w:rsidRPr="00ED58A9">
              <w:rPr>
                <w:rStyle w:val="Hyperlink"/>
                <w:rFonts w:ascii="Trebuchet MS" w:hAnsi="Trebuchet MS"/>
                <w:noProof/>
              </w:rPr>
              <w:t>7.2.</w:t>
            </w:r>
            <w:r w:rsidR="00EF722F" w:rsidRPr="00ED58A9">
              <w:rPr>
                <w:rFonts w:ascii="Trebuchet MS" w:eastAsiaTheme="minorEastAsia" w:hAnsi="Trebuchet MS"/>
                <w:noProof/>
                <w:lang w:eastAsia="en-GB"/>
              </w:rPr>
              <w:tab/>
            </w:r>
            <w:r w:rsidR="00EF722F" w:rsidRPr="00ED58A9">
              <w:rPr>
                <w:rStyle w:val="Hyperlink"/>
                <w:rFonts w:ascii="Trebuchet MS" w:hAnsi="Trebuchet MS"/>
                <w:noProof/>
              </w:rPr>
              <w:t>Policy terms and conditions</w:t>
            </w:r>
            <w:r w:rsidR="00EF722F" w:rsidRPr="00ED58A9">
              <w:rPr>
                <w:rFonts w:ascii="Trebuchet MS" w:hAnsi="Trebuchet MS"/>
                <w:noProof/>
                <w:webHidden/>
              </w:rPr>
              <w:tab/>
            </w:r>
            <w:r w:rsidR="00EF722F" w:rsidRPr="00ED58A9">
              <w:rPr>
                <w:rFonts w:ascii="Trebuchet MS" w:hAnsi="Trebuchet MS"/>
                <w:noProof/>
                <w:webHidden/>
              </w:rPr>
              <w:fldChar w:fldCharType="begin"/>
            </w:r>
            <w:r w:rsidR="00EF722F" w:rsidRPr="00ED58A9">
              <w:rPr>
                <w:rFonts w:ascii="Trebuchet MS" w:hAnsi="Trebuchet MS"/>
                <w:noProof/>
                <w:webHidden/>
              </w:rPr>
              <w:instrText xml:space="preserve"> PAGEREF _Toc52451890 \h </w:instrText>
            </w:r>
            <w:r w:rsidR="00EF722F" w:rsidRPr="00ED58A9">
              <w:rPr>
                <w:rFonts w:ascii="Trebuchet MS" w:hAnsi="Trebuchet MS"/>
                <w:noProof/>
                <w:webHidden/>
              </w:rPr>
            </w:r>
            <w:r w:rsidR="00EF722F" w:rsidRPr="00ED58A9">
              <w:rPr>
                <w:rFonts w:ascii="Trebuchet MS" w:hAnsi="Trebuchet MS"/>
                <w:noProof/>
                <w:webHidden/>
              </w:rPr>
              <w:fldChar w:fldCharType="separate"/>
            </w:r>
            <w:r w:rsidR="00AA475A">
              <w:rPr>
                <w:rFonts w:ascii="Trebuchet MS" w:hAnsi="Trebuchet MS"/>
                <w:noProof/>
                <w:webHidden/>
              </w:rPr>
              <w:t>20</w:t>
            </w:r>
            <w:r w:rsidR="00EF722F" w:rsidRPr="00ED58A9">
              <w:rPr>
                <w:rFonts w:ascii="Trebuchet MS" w:hAnsi="Trebuchet MS"/>
                <w:noProof/>
                <w:webHidden/>
              </w:rPr>
              <w:fldChar w:fldCharType="end"/>
            </w:r>
          </w:hyperlink>
        </w:p>
        <w:p w14:paraId="23634D9B" w14:textId="1AA8F57B" w:rsidR="00EF722F" w:rsidRPr="00ED58A9" w:rsidRDefault="009D457A">
          <w:pPr>
            <w:pStyle w:val="TOC1"/>
            <w:rPr>
              <w:rFonts w:ascii="Trebuchet MS" w:eastAsiaTheme="minorEastAsia" w:hAnsi="Trebuchet MS"/>
              <w:noProof/>
              <w:lang w:eastAsia="en-GB"/>
            </w:rPr>
          </w:pPr>
          <w:hyperlink w:anchor="_Toc52451891" w:history="1">
            <w:r w:rsidR="00EF722F" w:rsidRPr="00ED58A9">
              <w:rPr>
                <w:rStyle w:val="Hyperlink"/>
                <w:rFonts w:ascii="Trebuchet MS" w:hAnsi="Trebuchet MS"/>
                <w:noProof/>
              </w:rPr>
              <w:t>7.3.</w:t>
            </w:r>
            <w:r w:rsidR="00EF722F" w:rsidRPr="00ED58A9">
              <w:rPr>
                <w:rFonts w:ascii="Trebuchet MS" w:eastAsiaTheme="minorEastAsia" w:hAnsi="Trebuchet MS"/>
                <w:noProof/>
                <w:lang w:eastAsia="en-GB"/>
              </w:rPr>
              <w:tab/>
            </w:r>
            <w:r w:rsidR="00EF722F" w:rsidRPr="00ED58A9">
              <w:rPr>
                <w:rStyle w:val="Hyperlink"/>
                <w:rFonts w:ascii="Trebuchet MS" w:hAnsi="Trebuchet MS"/>
                <w:noProof/>
              </w:rPr>
              <w:t>Policy and claims administration</w:t>
            </w:r>
            <w:r w:rsidR="00EF722F" w:rsidRPr="00ED58A9">
              <w:rPr>
                <w:rFonts w:ascii="Trebuchet MS" w:hAnsi="Trebuchet MS"/>
                <w:noProof/>
                <w:webHidden/>
              </w:rPr>
              <w:tab/>
            </w:r>
            <w:r w:rsidR="00EF722F" w:rsidRPr="00ED58A9">
              <w:rPr>
                <w:rFonts w:ascii="Trebuchet MS" w:hAnsi="Trebuchet MS"/>
                <w:noProof/>
                <w:webHidden/>
              </w:rPr>
              <w:fldChar w:fldCharType="begin"/>
            </w:r>
            <w:r w:rsidR="00EF722F" w:rsidRPr="00ED58A9">
              <w:rPr>
                <w:rFonts w:ascii="Trebuchet MS" w:hAnsi="Trebuchet MS"/>
                <w:noProof/>
                <w:webHidden/>
              </w:rPr>
              <w:instrText xml:space="preserve"> PAGEREF _Toc52451891 \h </w:instrText>
            </w:r>
            <w:r w:rsidR="00EF722F" w:rsidRPr="00ED58A9">
              <w:rPr>
                <w:rFonts w:ascii="Trebuchet MS" w:hAnsi="Trebuchet MS"/>
                <w:noProof/>
                <w:webHidden/>
              </w:rPr>
            </w:r>
            <w:r w:rsidR="00EF722F" w:rsidRPr="00ED58A9">
              <w:rPr>
                <w:rFonts w:ascii="Trebuchet MS" w:hAnsi="Trebuchet MS"/>
                <w:noProof/>
                <w:webHidden/>
              </w:rPr>
              <w:fldChar w:fldCharType="separate"/>
            </w:r>
            <w:r w:rsidR="00AA475A">
              <w:rPr>
                <w:rFonts w:ascii="Trebuchet MS" w:hAnsi="Trebuchet MS"/>
                <w:noProof/>
                <w:webHidden/>
              </w:rPr>
              <w:t>20</w:t>
            </w:r>
            <w:r w:rsidR="00EF722F" w:rsidRPr="00ED58A9">
              <w:rPr>
                <w:rFonts w:ascii="Trebuchet MS" w:hAnsi="Trebuchet MS"/>
                <w:noProof/>
                <w:webHidden/>
              </w:rPr>
              <w:fldChar w:fldCharType="end"/>
            </w:r>
          </w:hyperlink>
        </w:p>
        <w:p w14:paraId="33A4F386" w14:textId="0EF13FCA" w:rsidR="00EF722F" w:rsidRPr="00ED58A9" w:rsidRDefault="009D457A">
          <w:pPr>
            <w:pStyle w:val="TOC1"/>
            <w:rPr>
              <w:rFonts w:ascii="Trebuchet MS" w:eastAsiaTheme="minorEastAsia" w:hAnsi="Trebuchet MS"/>
              <w:noProof/>
              <w:lang w:eastAsia="en-GB"/>
            </w:rPr>
          </w:pPr>
          <w:hyperlink w:anchor="_Toc52451892" w:history="1">
            <w:r w:rsidR="00EF722F" w:rsidRPr="00ED58A9">
              <w:rPr>
                <w:rStyle w:val="Hyperlink"/>
                <w:rFonts w:ascii="Trebuchet MS" w:hAnsi="Trebuchet MS"/>
                <w:noProof/>
              </w:rPr>
              <w:t>7.4.</w:t>
            </w:r>
            <w:r w:rsidR="00EF722F" w:rsidRPr="00ED58A9">
              <w:rPr>
                <w:rFonts w:ascii="Trebuchet MS" w:eastAsiaTheme="minorEastAsia" w:hAnsi="Trebuchet MS"/>
                <w:noProof/>
                <w:lang w:eastAsia="en-GB"/>
              </w:rPr>
              <w:tab/>
            </w:r>
            <w:r w:rsidR="00EF722F" w:rsidRPr="00ED58A9">
              <w:rPr>
                <w:rStyle w:val="Hyperlink"/>
                <w:rFonts w:ascii="Trebuchet MS" w:hAnsi="Trebuchet MS"/>
                <w:noProof/>
              </w:rPr>
              <w:t>Communication strategy</w:t>
            </w:r>
            <w:r w:rsidR="00EF722F" w:rsidRPr="00ED58A9">
              <w:rPr>
                <w:rFonts w:ascii="Trebuchet MS" w:hAnsi="Trebuchet MS"/>
                <w:noProof/>
                <w:webHidden/>
              </w:rPr>
              <w:tab/>
            </w:r>
            <w:r w:rsidR="00EF722F" w:rsidRPr="00ED58A9">
              <w:rPr>
                <w:rFonts w:ascii="Trebuchet MS" w:hAnsi="Trebuchet MS"/>
                <w:noProof/>
                <w:webHidden/>
              </w:rPr>
              <w:fldChar w:fldCharType="begin"/>
            </w:r>
            <w:r w:rsidR="00EF722F" w:rsidRPr="00ED58A9">
              <w:rPr>
                <w:rFonts w:ascii="Trebuchet MS" w:hAnsi="Trebuchet MS"/>
                <w:noProof/>
                <w:webHidden/>
              </w:rPr>
              <w:instrText xml:space="preserve"> PAGEREF _Toc52451892 \h </w:instrText>
            </w:r>
            <w:r w:rsidR="00EF722F" w:rsidRPr="00ED58A9">
              <w:rPr>
                <w:rFonts w:ascii="Trebuchet MS" w:hAnsi="Trebuchet MS"/>
                <w:noProof/>
                <w:webHidden/>
              </w:rPr>
            </w:r>
            <w:r w:rsidR="00EF722F" w:rsidRPr="00ED58A9">
              <w:rPr>
                <w:rFonts w:ascii="Trebuchet MS" w:hAnsi="Trebuchet MS"/>
                <w:noProof/>
                <w:webHidden/>
              </w:rPr>
              <w:fldChar w:fldCharType="separate"/>
            </w:r>
            <w:r w:rsidR="00AA475A">
              <w:rPr>
                <w:rFonts w:ascii="Trebuchet MS" w:hAnsi="Trebuchet MS"/>
                <w:noProof/>
                <w:webHidden/>
              </w:rPr>
              <w:t>20</w:t>
            </w:r>
            <w:r w:rsidR="00EF722F" w:rsidRPr="00ED58A9">
              <w:rPr>
                <w:rFonts w:ascii="Trebuchet MS" w:hAnsi="Trebuchet MS"/>
                <w:noProof/>
                <w:webHidden/>
              </w:rPr>
              <w:fldChar w:fldCharType="end"/>
            </w:r>
          </w:hyperlink>
        </w:p>
        <w:p w14:paraId="5A1F28B4" w14:textId="324DDB2E" w:rsidR="00EF722F" w:rsidRPr="00ED58A9" w:rsidRDefault="009D457A">
          <w:pPr>
            <w:pStyle w:val="TOC1"/>
            <w:rPr>
              <w:rFonts w:ascii="Trebuchet MS" w:eastAsiaTheme="minorEastAsia" w:hAnsi="Trebuchet MS"/>
              <w:noProof/>
              <w:lang w:eastAsia="en-GB"/>
            </w:rPr>
          </w:pPr>
          <w:hyperlink w:anchor="_Toc52451893" w:history="1">
            <w:r w:rsidR="00EF722F" w:rsidRPr="00ED58A9">
              <w:rPr>
                <w:rStyle w:val="Hyperlink"/>
                <w:rFonts w:ascii="Trebuchet MS" w:hAnsi="Trebuchet MS"/>
                <w:noProof/>
              </w:rPr>
              <w:t>7.5.</w:t>
            </w:r>
            <w:r w:rsidR="00EF722F" w:rsidRPr="00ED58A9">
              <w:rPr>
                <w:rFonts w:ascii="Trebuchet MS" w:eastAsiaTheme="minorEastAsia" w:hAnsi="Trebuchet MS"/>
                <w:noProof/>
                <w:lang w:eastAsia="en-GB"/>
              </w:rPr>
              <w:tab/>
            </w:r>
            <w:r w:rsidR="00EF722F" w:rsidRPr="00ED58A9">
              <w:rPr>
                <w:rStyle w:val="Hyperlink"/>
                <w:rFonts w:ascii="Trebuchet MS" w:hAnsi="Trebuchet MS"/>
                <w:noProof/>
              </w:rPr>
              <w:t>Benefits expectation</w:t>
            </w:r>
            <w:r w:rsidR="00EF722F" w:rsidRPr="00ED58A9">
              <w:rPr>
                <w:rFonts w:ascii="Trebuchet MS" w:hAnsi="Trebuchet MS"/>
                <w:noProof/>
                <w:webHidden/>
              </w:rPr>
              <w:tab/>
            </w:r>
            <w:r w:rsidR="00EF722F" w:rsidRPr="00ED58A9">
              <w:rPr>
                <w:rFonts w:ascii="Trebuchet MS" w:hAnsi="Trebuchet MS"/>
                <w:noProof/>
                <w:webHidden/>
              </w:rPr>
              <w:fldChar w:fldCharType="begin"/>
            </w:r>
            <w:r w:rsidR="00EF722F" w:rsidRPr="00ED58A9">
              <w:rPr>
                <w:rFonts w:ascii="Trebuchet MS" w:hAnsi="Trebuchet MS"/>
                <w:noProof/>
                <w:webHidden/>
              </w:rPr>
              <w:instrText xml:space="preserve"> PAGEREF _Toc52451893 \h </w:instrText>
            </w:r>
            <w:r w:rsidR="00EF722F" w:rsidRPr="00ED58A9">
              <w:rPr>
                <w:rFonts w:ascii="Trebuchet MS" w:hAnsi="Trebuchet MS"/>
                <w:noProof/>
                <w:webHidden/>
              </w:rPr>
            </w:r>
            <w:r w:rsidR="00EF722F" w:rsidRPr="00ED58A9">
              <w:rPr>
                <w:rFonts w:ascii="Trebuchet MS" w:hAnsi="Trebuchet MS"/>
                <w:noProof/>
                <w:webHidden/>
              </w:rPr>
              <w:fldChar w:fldCharType="separate"/>
            </w:r>
            <w:r w:rsidR="00AA475A">
              <w:rPr>
                <w:rFonts w:ascii="Trebuchet MS" w:hAnsi="Trebuchet MS"/>
                <w:noProof/>
                <w:webHidden/>
              </w:rPr>
              <w:t>20</w:t>
            </w:r>
            <w:r w:rsidR="00EF722F" w:rsidRPr="00ED58A9">
              <w:rPr>
                <w:rFonts w:ascii="Trebuchet MS" w:hAnsi="Trebuchet MS"/>
                <w:noProof/>
                <w:webHidden/>
              </w:rPr>
              <w:fldChar w:fldCharType="end"/>
            </w:r>
          </w:hyperlink>
        </w:p>
        <w:p w14:paraId="7869771A" w14:textId="3F1B22D8" w:rsidR="00EF722F" w:rsidRPr="00ED58A9" w:rsidRDefault="009D457A">
          <w:pPr>
            <w:pStyle w:val="TOC1"/>
            <w:rPr>
              <w:rFonts w:ascii="Trebuchet MS" w:eastAsiaTheme="minorEastAsia" w:hAnsi="Trebuchet MS"/>
              <w:noProof/>
              <w:lang w:eastAsia="en-GB"/>
            </w:rPr>
          </w:pPr>
          <w:hyperlink w:anchor="_Toc52451894" w:history="1">
            <w:r w:rsidR="00EF722F" w:rsidRPr="00ED58A9">
              <w:rPr>
                <w:rStyle w:val="Hyperlink"/>
                <w:rFonts w:ascii="Trebuchet MS" w:hAnsi="Trebuchet MS"/>
                <w:noProof/>
              </w:rPr>
              <w:t>7.6.</w:t>
            </w:r>
            <w:r w:rsidR="00EF722F" w:rsidRPr="00ED58A9">
              <w:rPr>
                <w:rFonts w:ascii="Trebuchet MS" w:eastAsiaTheme="minorEastAsia" w:hAnsi="Trebuchet MS"/>
                <w:noProof/>
                <w:lang w:eastAsia="en-GB"/>
              </w:rPr>
              <w:tab/>
            </w:r>
            <w:r w:rsidR="00EF722F" w:rsidRPr="00ED58A9">
              <w:rPr>
                <w:rStyle w:val="Hyperlink"/>
                <w:rFonts w:ascii="Trebuchet MS" w:hAnsi="Trebuchet MS"/>
                <w:noProof/>
              </w:rPr>
              <w:t>Treating customers fairly</w:t>
            </w:r>
            <w:r w:rsidR="00EF722F" w:rsidRPr="00ED58A9">
              <w:rPr>
                <w:rFonts w:ascii="Trebuchet MS" w:hAnsi="Trebuchet MS"/>
                <w:noProof/>
                <w:webHidden/>
              </w:rPr>
              <w:tab/>
            </w:r>
            <w:r w:rsidR="00EF722F" w:rsidRPr="00ED58A9">
              <w:rPr>
                <w:rFonts w:ascii="Trebuchet MS" w:hAnsi="Trebuchet MS"/>
                <w:noProof/>
                <w:webHidden/>
              </w:rPr>
              <w:fldChar w:fldCharType="begin"/>
            </w:r>
            <w:r w:rsidR="00EF722F" w:rsidRPr="00ED58A9">
              <w:rPr>
                <w:rFonts w:ascii="Trebuchet MS" w:hAnsi="Trebuchet MS"/>
                <w:noProof/>
                <w:webHidden/>
              </w:rPr>
              <w:instrText xml:space="preserve"> PAGEREF _Toc52451894 \h </w:instrText>
            </w:r>
            <w:r w:rsidR="00EF722F" w:rsidRPr="00ED58A9">
              <w:rPr>
                <w:rFonts w:ascii="Trebuchet MS" w:hAnsi="Trebuchet MS"/>
                <w:noProof/>
                <w:webHidden/>
              </w:rPr>
            </w:r>
            <w:r w:rsidR="00EF722F" w:rsidRPr="00ED58A9">
              <w:rPr>
                <w:rFonts w:ascii="Trebuchet MS" w:hAnsi="Trebuchet MS"/>
                <w:noProof/>
                <w:webHidden/>
              </w:rPr>
              <w:fldChar w:fldCharType="separate"/>
            </w:r>
            <w:r w:rsidR="00AA475A">
              <w:rPr>
                <w:rFonts w:ascii="Trebuchet MS" w:hAnsi="Trebuchet MS"/>
                <w:noProof/>
                <w:webHidden/>
              </w:rPr>
              <w:t>20</w:t>
            </w:r>
            <w:r w:rsidR="00EF722F" w:rsidRPr="00ED58A9">
              <w:rPr>
                <w:rFonts w:ascii="Trebuchet MS" w:hAnsi="Trebuchet MS"/>
                <w:noProof/>
                <w:webHidden/>
              </w:rPr>
              <w:fldChar w:fldCharType="end"/>
            </w:r>
          </w:hyperlink>
        </w:p>
        <w:p w14:paraId="010B0800" w14:textId="202FD58D" w:rsidR="00EF722F" w:rsidRPr="00ED58A9" w:rsidRDefault="009D457A">
          <w:pPr>
            <w:pStyle w:val="TOC1"/>
            <w:rPr>
              <w:rFonts w:ascii="Trebuchet MS" w:eastAsiaTheme="minorEastAsia" w:hAnsi="Trebuchet MS"/>
              <w:noProof/>
              <w:lang w:eastAsia="en-GB"/>
            </w:rPr>
          </w:pPr>
          <w:hyperlink w:anchor="_Toc52451895" w:history="1">
            <w:r w:rsidR="00EF722F" w:rsidRPr="00ED58A9">
              <w:rPr>
                <w:rStyle w:val="Hyperlink"/>
                <w:rFonts w:ascii="Trebuchet MS" w:hAnsi="Trebuchet MS"/>
                <w:noProof/>
              </w:rPr>
              <w:t>7.7.</w:t>
            </w:r>
            <w:r w:rsidR="00EF722F" w:rsidRPr="00ED58A9">
              <w:rPr>
                <w:rFonts w:ascii="Trebuchet MS" w:eastAsiaTheme="minorEastAsia" w:hAnsi="Trebuchet MS"/>
                <w:noProof/>
                <w:lang w:eastAsia="en-GB"/>
              </w:rPr>
              <w:tab/>
            </w:r>
            <w:r w:rsidR="00EF722F" w:rsidRPr="00ED58A9">
              <w:rPr>
                <w:rStyle w:val="Hyperlink"/>
                <w:rFonts w:ascii="Trebuchet MS" w:hAnsi="Trebuchet MS"/>
                <w:noProof/>
              </w:rPr>
              <w:t>Consumer protection schemes</w:t>
            </w:r>
            <w:r w:rsidR="00EF722F" w:rsidRPr="00ED58A9">
              <w:rPr>
                <w:rFonts w:ascii="Trebuchet MS" w:hAnsi="Trebuchet MS"/>
                <w:noProof/>
                <w:webHidden/>
              </w:rPr>
              <w:tab/>
            </w:r>
            <w:r w:rsidR="00EF722F" w:rsidRPr="00ED58A9">
              <w:rPr>
                <w:rFonts w:ascii="Trebuchet MS" w:hAnsi="Trebuchet MS"/>
                <w:noProof/>
                <w:webHidden/>
              </w:rPr>
              <w:fldChar w:fldCharType="begin"/>
            </w:r>
            <w:r w:rsidR="00EF722F" w:rsidRPr="00ED58A9">
              <w:rPr>
                <w:rFonts w:ascii="Trebuchet MS" w:hAnsi="Trebuchet MS"/>
                <w:noProof/>
                <w:webHidden/>
              </w:rPr>
              <w:instrText xml:space="preserve"> PAGEREF _Toc52451895 \h </w:instrText>
            </w:r>
            <w:r w:rsidR="00EF722F" w:rsidRPr="00ED58A9">
              <w:rPr>
                <w:rFonts w:ascii="Trebuchet MS" w:hAnsi="Trebuchet MS"/>
                <w:noProof/>
                <w:webHidden/>
              </w:rPr>
            </w:r>
            <w:r w:rsidR="00EF722F" w:rsidRPr="00ED58A9">
              <w:rPr>
                <w:rFonts w:ascii="Trebuchet MS" w:hAnsi="Trebuchet MS"/>
                <w:noProof/>
                <w:webHidden/>
              </w:rPr>
              <w:fldChar w:fldCharType="separate"/>
            </w:r>
            <w:r w:rsidR="00AA475A">
              <w:rPr>
                <w:rFonts w:ascii="Trebuchet MS" w:hAnsi="Trebuchet MS"/>
                <w:noProof/>
                <w:webHidden/>
              </w:rPr>
              <w:t>21</w:t>
            </w:r>
            <w:r w:rsidR="00EF722F" w:rsidRPr="00ED58A9">
              <w:rPr>
                <w:rFonts w:ascii="Trebuchet MS" w:hAnsi="Trebuchet MS"/>
                <w:noProof/>
                <w:webHidden/>
              </w:rPr>
              <w:fldChar w:fldCharType="end"/>
            </w:r>
          </w:hyperlink>
        </w:p>
        <w:p w14:paraId="1F3E9CAD" w14:textId="7DE997FD" w:rsidR="00EF722F" w:rsidRPr="00ED58A9" w:rsidRDefault="009D457A">
          <w:pPr>
            <w:pStyle w:val="TOC1"/>
            <w:rPr>
              <w:rFonts w:ascii="Trebuchet MS" w:eastAsiaTheme="minorEastAsia" w:hAnsi="Trebuchet MS"/>
              <w:noProof/>
              <w:lang w:eastAsia="en-GB"/>
            </w:rPr>
          </w:pPr>
          <w:hyperlink w:anchor="_Toc52451896" w:history="1">
            <w:r w:rsidR="00EF722F" w:rsidRPr="00ED58A9">
              <w:rPr>
                <w:rStyle w:val="Hyperlink"/>
                <w:rFonts w:ascii="Trebuchet MS" w:hAnsi="Trebuchet MS"/>
                <w:noProof/>
              </w:rPr>
              <w:t>8.</w:t>
            </w:r>
            <w:r w:rsidR="00EF722F" w:rsidRPr="00ED58A9">
              <w:rPr>
                <w:rFonts w:ascii="Trebuchet MS" w:eastAsiaTheme="minorEastAsia" w:hAnsi="Trebuchet MS"/>
                <w:noProof/>
                <w:lang w:eastAsia="en-GB"/>
              </w:rPr>
              <w:tab/>
            </w:r>
            <w:r w:rsidR="00EF722F" w:rsidRPr="00ED58A9">
              <w:rPr>
                <w:rStyle w:val="Hyperlink"/>
                <w:rFonts w:ascii="Trebuchet MS" w:hAnsi="Trebuchet MS"/>
                <w:noProof/>
              </w:rPr>
              <w:t>Business strategy</w:t>
            </w:r>
            <w:r w:rsidR="00EF722F" w:rsidRPr="00ED58A9">
              <w:rPr>
                <w:rFonts w:ascii="Trebuchet MS" w:hAnsi="Trebuchet MS"/>
                <w:noProof/>
                <w:webHidden/>
              </w:rPr>
              <w:tab/>
            </w:r>
            <w:r w:rsidR="00EF722F" w:rsidRPr="00ED58A9">
              <w:rPr>
                <w:rFonts w:ascii="Trebuchet MS" w:hAnsi="Trebuchet MS"/>
                <w:noProof/>
                <w:webHidden/>
              </w:rPr>
              <w:fldChar w:fldCharType="begin"/>
            </w:r>
            <w:r w:rsidR="00EF722F" w:rsidRPr="00ED58A9">
              <w:rPr>
                <w:rFonts w:ascii="Trebuchet MS" w:hAnsi="Trebuchet MS"/>
                <w:noProof/>
                <w:webHidden/>
              </w:rPr>
              <w:instrText xml:space="preserve"> PAGEREF _Toc52451896 \h </w:instrText>
            </w:r>
            <w:r w:rsidR="00EF722F" w:rsidRPr="00ED58A9">
              <w:rPr>
                <w:rFonts w:ascii="Trebuchet MS" w:hAnsi="Trebuchet MS"/>
                <w:noProof/>
                <w:webHidden/>
              </w:rPr>
            </w:r>
            <w:r w:rsidR="00EF722F" w:rsidRPr="00ED58A9">
              <w:rPr>
                <w:rFonts w:ascii="Trebuchet MS" w:hAnsi="Trebuchet MS"/>
                <w:noProof/>
                <w:webHidden/>
              </w:rPr>
              <w:fldChar w:fldCharType="separate"/>
            </w:r>
            <w:r w:rsidR="00AA475A">
              <w:rPr>
                <w:rFonts w:ascii="Trebuchet MS" w:hAnsi="Trebuchet MS"/>
                <w:noProof/>
                <w:webHidden/>
              </w:rPr>
              <w:t>21</w:t>
            </w:r>
            <w:r w:rsidR="00EF722F" w:rsidRPr="00ED58A9">
              <w:rPr>
                <w:rFonts w:ascii="Trebuchet MS" w:hAnsi="Trebuchet MS"/>
                <w:noProof/>
                <w:webHidden/>
              </w:rPr>
              <w:fldChar w:fldCharType="end"/>
            </w:r>
          </w:hyperlink>
        </w:p>
        <w:p w14:paraId="400D66ED" w14:textId="02E455AB" w:rsidR="00EF722F" w:rsidRPr="00ED58A9" w:rsidRDefault="009D457A">
          <w:pPr>
            <w:pStyle w:val="TOC1"/>
            <w:rPr>
              <w:rFonts w:ascii="Trebuchet MS" w:eastAsiaTheme="minorEastAsia" w:hAnsi="Trebuchet MS"/>
              <w:noProof/>
              <w:lang w:eastAsia="en-GB"/>
            </w:rPr>
          </w:pPr>
          <w:hyperlink w:anchor="_Toc52451897" w:history="1">
            <w:r w:rsidR="00EF722F" w:rsidRPr="00ED58A9">
              <w:rPr>
                <w:rStyle w:val="Hyperlink"/>
                <w:rFonts w:ascii="Trebuchet MS" w:hAnsi="Trebuchet MS"/>
                <w:noProof/>
              </w:rPr>
              <w:t>9.</w:t>
            </w:r>
            <w:r w:rsidR="00EF722F" w:rsidRPr="00ED58A9">
              <w:rPr>
                <w:rFonts w:ascii="Trebuchet MS" w:eastAsiaTheme="minorEastAsia" w:hAnsi="Trebuchet MS"/>
                <w:noProof/>
                <w:lang w:eastAsia="en-GB"/>
              </w:rPr>
              <w:tab/>
            </w:r>
            <w:r w:rsidR="00EF722F" w:rsidRPr="00ED58A9">
              <w:rPr>
                <w:rStyle w:val="Hyperlink"/>
                <w:rFonts w:ascii="Trebuchet MS" w:hAnsi="Trebuchet MS"/>
                <w:noProof/>
              </w:rPr>
              <w:t>New Governance Framework</w:t>
            </w:r>
            <w:r w:rsidR="00EF722F" w:rsidRPr="00ED58A9">
              <w:rPr>
                <w:rFonts w:ascii="Trebuchet MS" w:hAnsi="Trebuchet MS"/>
                <w:noProof/>
                <w:webHidden/>
              </w:rPr>
              <w:tab/>
            </w:r>
            <w:r w:rsidR="00EF722F" w:rsidRPr="00ED58A9">
              <w:rPr>
                <w:rFonts w:ascii="Trebuchet MS" w:hAnsi="Trebuchet MS"/>
                <w:noProof/>
                <w:webHidden/>
              </w:rPr>
              <w:fldChar w:fldCharType="begin"/>
            </w:r>
            <w:r w:rsidR="00EF722F" w:rsidRPr="00ED58A9">
              <w:rPr>
                <w:rFonts w:ascii="Trebuchet MS" w:hAnsi="Trebuchet MS"/>
                <w:noProof/>
                <w:webHidden/>
              </w:rPr>
              <w:instrText xml:space="preserve"> PAGEREF _Toc52451897 \h </w:instrText>
            </w:r>
            <w:r w:rsidR="00EF722F" w:rsidRPr="00ED58A9">
              <w:rPr>
                <w:rFonts w:ascii="Trebuchet MS" w:hAnsi="Trebuchet MS"/>
                <w:noProof/>
                <w:webHidden/>
              </w:rPr>
            </w:r>
            <w:r w:rsidR="00EF722F" w:rsidRPr="00ED58A9">
              <w:rPr>
                <w:rFonts w:ascii="Trebuchet MS" w:hAnsi="Trebuchet MS"/>
                <w:noProof/>
                <w:webHidden/>
              </w:rPr>
              <w:fldChar w:fldCharType="separate"/>
            </w:r>
            <w:r w:rsidR="00AA475A">
              <w:rPr>
                <w:rFonts w:ascii="Trebuchet MS" w:hAnsi="Trebuchet MS"/>
                <w:noProof/>
                <w:webHidden/>
              </w:rPr>
              <w:t>21</w:t>
            </w:r>
            <w:r w:rsidR="00EF722F" w:rsidRPr="00ED58A9">
              <w:rPr>
                <w:rFonts w:ascii="Trebuchet MS" w:hAnsi="Trebuchet MS"/>
                <w:noProof/>
                <w:webHidden/>
              </w:rPr>
              <w:fldChar w:fldCharType="end"/>
            </w:r>
          </w:hyperlink>
        </w:p>
        <w:p w14:paraId="5D325B6A" w14:textId="6BE53DB1" w:rsidR="00EF722F" w:rsidRPr="00ED58A9" w:rsidRDefault="009D457A">
          <w:pPr>
            <w:pStyle w:val="TOC1"/>
            <w:rPr>
              <w:rFonts w:ascii="Trebuchet MS" w:eastAsiaTheme="minorEastAsia" w:hAnsi="Trebuchet MS"/>
              <w:noProof/>
              <w:lang w:eastAsia="en-GB"/>
            </w:rPr>
          </w:pPr>
          <w:hyperlink w:anchor="_Toc52451898" w:history="1">
            <w:r w:rsidR="00EF722F" w:rsidRPr="00ED58A9">
              <w:rPr>
                <w:rStyle w:val="Hyperlink"/>
                <w:rFonts w:ascii="Trebuchet MS" w:hAnsi="Trebuchet MS"/>
                <w:noProof/>
              </w:rPr>
              <w:t>10.</w:t>
            </w:r>
            <w:r w:rsidR="00EF722F" w:rsidRPr="00ED58A9">
              <w:rPr>
                <w:rFonts w:ascii="Trebuchet MS" w:eastAsiaTheme="minorEastAsia" w:hAnsi="Trebuchet MS"/>
                <w:noProof/>
                <w:lang w:eastAsia="en-GB"/>
              </w:rPr>
              <w:tab/>
            </w:r>
            <w:r w:rsidR="00EF722F" w:rsidRPr="00ED58A9">
              <w:rPr>
                <w:rStyle w:val="Hyperlink"/>
                <w:rFonts w:ascii="Trebuchet MS" w:hAnsi="Trebuchet MS"/>
                <w:noProof/>
              </w:rPr>
              <w:t>Other considerations</w:t>
            </w:r>
            <w:r w:rsidR="00EF722F" w:rsidRPr="00ED58A9">
              <w:rPr>
                <w:rFonts w:ascii="Trebuchet MS" w:hAnsi="Trebuchet MS"/>
                <w:noProof/>
                <w:webHidden/>
              </w:rPr>
              <w:tab/>
            </w:r>
            <w:r w:rsidR="00EF722F" w:rsidRPr="00ED58A9">
              <w:rPr>
                <w:rFonts w:ascii="Trebuchet MS" w:hAnsi="Trebuchet MS"/>
                <w:noProof/>
                <w:webHidden/>
              </w:rPr>
              <w:fldChar w:fldCharType="begin"/>
            </w:r>
            <w:r w:rsidR="00EF722F" w:rsidRPr="00ED58A9">
              <w:rPr>
                <w:rFonts w:ascii="Trebuchet MS" w:hAnsi="Trebuchet MS"/>
                <w:noProof/>
                <w:webHidden/>
              </w:rPr>
              <w:instrText xml:space="preserve"> PAGEREF _Toc52451898 \h </w:instrText>
            </w:r>
            <w:r w:rsidR="00EF722F" w:rsidRPr="00ED58A9">
              <w:rPr>
                <w:rFonts w:ascii="Trebuchet MS" w:hAnsi="Trebuchet MS"/>
                <w:noProof/>
                <w:webHidden/>
              </w:rPr>
            </w:r>
            <w:r w:rsidR="00EF722F" w:rsidRPr="00ED58A9">
              <w:rPr>
                <w:rFonts w:ascii="Trebuchet MS" w:hAnsi="Trebuchet MS"/>
                <w:noProof/>
                <w:webHidden/>
              </w:rPr>
              <w:fldChar w:fldCharType="separate"/>
            </w:r>
            <w:r w:rsidR="00AA475A">
              <w:rPr>
                <w:rFonts w:ascii="Trebuchet MS" w:hAnsi="Trebuchet MS"/>
                <w:noProof/>
                <w:webHidden/>
              </w:rPr>
              <w:t>21</w:t>
            </w:r>
            <w:r w:rsidR="00EF722F" w:rsidRPr="00ED58A9">
              <w:rPr>
                <w:rFonts w:ascii="Trebuchet MS" w:hAnsi="Trebuchet MS"/>
                <w:noProof/>
                <w:webHidden/>
              </w:rPr>
              <w:fldChar w:fldCharType="end"/>
            </w:r>
          </w:hyperlink>
        </w:p>
        <w:p w14:paraId="6FE9D469" w14:textId="4E375FAB" w:rsidR="00EF722F" w:rsidRPr="00ED58A9" w:rsidRDefault="009D457A">
          <w:pPr>
            <w:pStyle w:val="TOC1"/>
            <w:tabs>
              <w:tab w:val="left" w:pos="880"/>
            </w:tabs>
            <w:rPr>
              <w:rFonts w:ascii="Trebuchet MS" w:eastAsiaTheme="minorEastAsia" w:hAnsi="Trebuchet MS"/>
              <w:noProof/>
              <w:lang w:eastAsia="en-GB"/>
            </w:rPr>
          </w:pPr>
          <w:hyperlink w:anchor="_Toc52451899" w:history="1">
            <w:r w:rsidR="00EF722F" w:rsidRPr="00ED58A9">
              <w:rPr>
                <w:rStyle w:val="Hyperlink"/>
                <w:rFonts w:ascii="Trebuchet MS" w:hAnsi="Trebuchet MS"/>
                <w:noProof/>
              </w:rPr>
              <w:t>10.1.</w:t>
            </w:r>
            <w:r w:rsidR="00EF722F" w:rsidRPr="00ED58A9">
              <w:rPr>
                <w:rFonts w:ascii="Trebuchet MS" w:eastAsiaTheme="minorEastAsia" w:hAnsi="Trebuchet MS"/>
                <w:noProof/>
                <w:lang w:eastAsia="en-GB"/>
              </w:rPr>
              <w:tab/>
            </w:r>
            <w:r w:rsidR="00EF722F" w:rsidRPr="00ED58A9">
              <w:rPr>
                <w:rStyle w:val="Hyperlink"/>
                <w:rFonts w:ascii="Trebuchet MS" w:hAnsi="Trebuchet MS"/>
                <w:noProof/>
              </w:rPr>
              <w:t>Update in B2B contracts novation process</w:t>
            </w:r>
            <w:r w:rsidR="00EF722F" w:rsidRPr="00ED58A9">
              <w:rPr>
                <w:rFonts w:ascii="Trebuchet MS" w:hAnsi="Trebuchet MS"/>
                <w:noProof/>
                <w:webHidden/>
              </w:rPr>
              <w:tab/>
            </w:r>
            <w:r w:rsidR="00EF722F" w:rsidRPr="00ED58A9">
              <w:rPr>
                <w:rFonts w:ascii="Trebuchet MS" w:hAnsi="Trebuchet MS"/>
                <w:noProof/>
                <w:webHidden/>
              </w:rPr>
              <w:fldChar w:fldCharType="begin"/>
            </w:r>
            <w:r w:rsidR="00EF722F" w:rsidRPr="00ED58A9">
              <w:rPr>
                <w:rFonts w:ascii="Trebuchet MS" w:hAnsi="Trebuchet MS"/>
                <w:noProof/>
                <w:webHidden/>
              </w:rPr>
              <w:instrText xml:space="preserve"> PAGEREF _Toc52451899 \h </w:instrText>
            </w:r>
            <w:r w:rsidR="00EF722F" w:rsidRPr="00ED58A9">
              <w:rPr>
                <w:rFonts w:ascii="Trebuchet MS" w:hAnsi="Trebuchet MS"/>
                <w:noProof/>
                <w:webHidden/>
              </w:rPr>
            </w:r>
            <w:r w:rsidR="00EF722F" w:rsidRPr="00ED58A9">
              <w:rPr>
                <w:rFonts w:ascii="Trebuchet MS" w:hAnsi="Trebuchet MS"/>
                <w:noProof/>
                <w:webHidden/>
              </w:rPr>
              <w:fldChar w:fldCharType="separate"/>
            </w:r>
            <w:r w:rsidR="00AA475A">
              <w:rPr>
                <w:rFonts w:ascii="Trebuchet MS" w:hAnsi="Trebuchet MS"/>
                <w:noProof/>
                <w:webHidden/>
              </w:rPr>
              <w:t>21</w:t>
            </w:r>
            <w:r w:rsidR="00EF722F" w:rsidRPr="00ED58A9">
              <w:rPr>
                <w:rFonts w:ascii="Trebuchet MS" w:hAnsi="Trebuchet MS"/>
                <w:noProof/>
                <w:webHidden/>
              </w:rPr>
              <w:fldChar w:fldCharType="end"/>
            </w:r>
          </w:hyperlink>
        </w:p>
        <w:p w14:paraId="7886B75A" w14:textId="58C9E608" w:rsidR="00EF722F" w:rsidRPr="00ED58A9" w:rsidRDefault="009D457A">
          <w:pPr>
            <w:pStyle w:val="TOC1"/>
            <w:rPr>
              <w:rFonts w:ascii="Trebuchet MS" w:eastAsiaTheme="minorEastAsia" w:hAnsi="Trebuchet MS"/>
              <w:noProof/>
              <w:lang w:eastAsia="en-GB"/>
            </w:rPr>
          </w:pPr>
          <w:hyperlink w:anchor="_Toc52451900" w:history="1">
            <w:r w:rsidR="00EF722F" w:rsidRPr="00ED58A9">
              <w:rPr>
                <w:rStyle w:val="Hyperlink"/>
                <w:rFonts w:ascii="Trebuchet MS" w:hAnsi="Trebuchet MS"/>
                <w:noProof/>
              </w:rPr>
              <w:t>11.</w:t>
            </w:r>
            <w:r w:rsidR="00EF722F" w:rsidRPr="00ED58A9">
              <w:rPr>
                <w:rFonts w:ascii="Trebuchet MS" w:eastAsiaTheme="minorEastAsia" w:hAnsi="Trebuchet MS"/>
                <w:noProof/>
                <w:lang w:eastAsia="en-GB"/>
              </w:rPr>
              <w:tab/>
            </w:r>
            <w:r w:rsidR="00EF722F" w:rsidRPr="00ED58A9">
              <w:rPr>
                <w:rStyle w:val="Hyperlink"/>
                <w:rFonts w:ascii="Trebuchet MS" w:hAnsi="Trebuchet MS"/>
                <w:noProof/>
              </w:rPr>
              <w:t>Limitations</w:t>
            </w:r>
            <w:r w:rsidR="00EF722F" w:rsidRPr="00ED58A9">
              <w:rPr>
                <w:rFonts w:ascii="Trebuchet MS" w:hAnsi="Trebuchet MS"/>
                <w:noProof/>
                <w:webHidden/>
              </w:rPr>
              <w:tab/>
            </w:r>
            <w:r w:rsidR="00EF722F" w:rsidRPr="00ED58A9">
              <w:rPr>
                <w:rFonts w:ascii="Trebuchet MS" w:hAnsi="Trebuchet MS"/>
                <w:noProof/>
                <w:webHidden/>
              </w:rPr>
              <w:fldChar w:fldCharType="begin"/>
            </w:r>
            <w:r w:rsidR="00EF722F" w:rsidRPr="00ED58A9">
              <w:rPr>
                <w:rFonts w:ascii="Trebuchet MS" w:hAnsi="Trebuchet MS"/>
                <w:noProof/>
                <w:webHidden/>
              </w:rPr>
              <w:instrText xml:space="preserve"> PAGEREF _Toc52451900 \h </w:instrText>
            </w:r>
            <w:r w:rsidR="00EF722F" w:rsidRPr="00ED58A9">
              <w:rPr>
                <w:rFonts w:ascii="Trebuchet MS" w:hAnsi="Trebuchet MS"/>
                <w:noProof/>
                <w:webHidden/>
              </w:rPr>
            </w:r>
            <w:r w:rsidR="00EF722F" w:rsidRPr="00ED58A9">
              <w:rPr>
                <w:rFonts w:ascii="Trebuchet MS" w:hAnsi="Trebuchet MS"/>
                <w:noProof/>
                <w:webHidden/>
              </w:rPr>
              <w:fldChar w:fldCharType="separate"/>
            </w:r>
            <w:r w:rsidR="00AA475A">
              <w:rPr>
                <w:rFonts w:ascii="Trebuchet MS" w:hAnsi="Trebuchet MS"/>
                <w:noProof/>
                <w:webHidden/>
              </w:rPr>
              <w:t>21</w:t>
            </w:r>
            <w:r w:rsidR="00EF722F" w:rsidRPr="00ED58A9">
              <w:rPr>
                <w:rFonts w:ascii="Trebuchet MS" w:hAnsi="Trebuchet MS"/>
                <w:noProof/>
                <w:webHidden/>
              </w:rPr>
              <w:fldChar w:fldCharType="end"/>
            </w:r>
          </w:hyperlink>
        </w:p>
        <w:p w14:paraId="6334F799" w14:textId="650EBB2B" w:rsidR="00EF722F" w:rsidRPr="00ED58A9" w:rsidRDefault="009D457A">
          <w:pPr>
            <w:pStyle w:val="TOC1"/>
            <w:rPr>
              <w:rFonts w:ascii="Trebuchet MS" w:eastAsiaTheme="minorEastAsia" w:hAnsi="Trebuchet MS"/>
              <w:noProof/>
              <w:lang w:eastAsia="en-GB"/>
            </w:rPr>
          </w:pPr>
          <w:hyperlink w:anchor="_Toc52451901" w:history="1">
            <w:r w:rsidR="00EF722F" w:rsidRPr="00ED58A9">
              <w:rPr>
                <w:rStyle w:val="Hyperlink"/>
                <w:rFonts w:ascii="Trebuchet MS" w:hAnsi="Trebuchet MS"/>
                <w:noProof/>
              </w:rPr>
              <w:t>12.</w:t>
            </w:r>
            <w:r w:rsidR="00EF722F" w:rsidRPr="00ED58A9">
              <w:rPr>
                <w:rFonts w:ascii="Trebuchet MS" w:eastAsiaTheme="minorEastAsia" w:hAnsi="Trebuchet MS"/>
                <w:noProof/>
                <w:lang w:eastAsia="en-GB"/>
              </w:rPr>
              <w:tab/>
            </w:r>
            <w:r w:rsidR="00EF722F" w:rsidRPr="00ED58A9">
              <w:rPr>
                <w:rStyle w:val="Hyperlink"/>
                <w:rFonts w:ascii="Trebuchet MS" w:hAnsi="Trebuchet MS"/>
                <w:noProof/>
              </w:rPr>
              <w:t>Conclusion</w:t>
            </w:r>
            <w:r w:rsidR="00EF722F" w:rsidRPr="00ED58A9">
              <w:rPr>
                <w:rFonts w:ascii="Trebuchet MS" w:hAnsi="Trebuchet MS"/>
                <w:noProof/>
                <w:webHidden/>
              </w:rPr>
              <w:tab/>
            </w:r>
            <w:r w:rsidR="00EF722F" w:rsidRPr="00ED58A9">
              <w:rPr>
                <w:rFonts w:ascii="Trebuchet MS" w:hAnsi="Trebuchet MS"/>
                <w:noProof/>
                <w:webHidden/>
              </w:rPr>
              <w:fldChar w:fldCharType="begin"/>
            </w:r>
            <w:r w:rsidR="00EF722F" w:rsidRPr="00ED58A9">
              <w:rPr>
                <w:rFonts w:ascii="Trebuchet MS" w:hAnsi="Trebuchet MS"/>
                <w:noProof/>
                <w:webHidden/>
              </w:rPr>
              <w:instrText xml:space="preserve"> PAGEREF _Toc52451901 \h </w:instrText>
            </w:r>
            <w:r w:rsidR="00EF722F" w:rsidRPr="00ED58A9">
              <w:rPr>
                <w:rFonts w:ascii="Trebuchet MS" w:hAnsi="Trebuchet MS"/>
                <w:noProof/>
                <w:webHidden/>
              </w:rPr>
            </w:r>
            <w:r w:rsidR="00EF722F" w:rsidRPr="00ED58A9">
              <w:rPr>
                <w:rFonts w:ascii="Trebuchet MS" w:hAnsi="Trebuchet MS"/>
                <w:noProof/>
                <w:webHidden/>
              </w:rPr>
              <w:fldChar w:fldCharType="separate"/>
            </w:r>
            <w:r w:rsidR="00AA475A">
              <w:rPr>
                <w:rFonts w:ascii="Trebuchet MS" w:hAnsi="Trebuchet MS"/>
                <w:noProof/>
                <w:webHidden/>
              </w:rPr>
              <w:t>22</w:t>
            </w:r>
            <w:r w:rsidR="00EF722F" w:rsidRPr="00ED58A9">
              <w:rPr>
                <w:rFonts w:ascii="Trebuchet MS" w:hAnsi="Trebuchet MS"/>
                <w:noProof/>
                <w:webHidden/>
              </w:rPr>
              <w:fldChar w:fldCharType="end"/>
            </w:r>
          </w:hyperlink>
        </w:p>
        <w:p w14:paraId="020B84D3" w14:textId="0E6395B4" w:rsidR="00EF722F" w:rsidRPr="00ED58A9" w:rsidRDefault="009D457A">
          <w:pPr>
            <w:pStyle w:val="TOC1"/>
            <w:rPr>
              <w:rFonts w:ascii="Trebuchet MS" w:eastAsiaTheme="minorEastAsia" w:hAnsi="Trebuchet MS"/>
              <w:noProof/>
              <w:lang w:eastAsia="en-GB"/>
            </w:rPr>
          </w:pPr>
          <w:hyperlink w:anchor="_Toc52451902" w:history="1">
            <w:r w:rsidR="00EF722F" w:rsidRPr="00ED58A9">
              <w:rPr>
                <w:rStyle w:val="Hyperlink"/>
                <w:rFonts w:ascii="Trebuchet MS" w:hAnsi="Trebuchet MS"/>
                <w:noProof/>
              </w:rPr>
              <w:t>Glossary</w:t>
            </w:r>
            <w:r w:rsidR="00EF722F" w:rsidRPr="00ED58A9">
              <w:rPr>
                <w:rFonts w:ascii="Trebuchet MS" w:hAnsi="Trebuchet MS"/>
                <w:noProof/>
                <w:webHidden/>
              </w:rPr>
              <w:tab/>
            </w:r>
            <w:r w:rsidR="00EF722F" w:rsidRPr="00ED58A9">
              <w:rPr>
                <w:rFonts w:ascii="Trebuchet MS" w:hAnsi="Trebuchet MS"/>
                <w:noProof/>
                <w:webHidden/>
              </w:rPr>
              <w:fldChar w:fldCharType="begin"/>
            </w:r>
            <w:r w:rsidR="00EF722F" w:rsidRPr="00ED58A9">
              <w:rPr>
                <w:rFonts w:ascii="Trebuchet MS" w:hAnsi="Trebuchet MS"/>
                <w:noProof/>
                <w:webHidden/>
              </w:rPr>
              <w:instrText xml:space="preserve"> PAGEREF _Toc52451902 \h </w:instrText>
            </w:r>
            <w:r w:rsidR="00EF722F" w:rsidRPr="00ED58A9">
              <w:rPr>
                <w:rFonts w:ascii="Trebuchet MS" w:hAnsi="Trebuchet MS"/>
                <w:noProof/>
                <w:webHidden/>
              </w:rPr>
            </w:r>
            <w:r w:rsidR="00EF722F" w:rsidRPr="00ED58A9">
              <w:rPr>
                <w:rFonts w:ascii="Trebuchet MS" w:hAnsi="Trebuchet MS"/>
                <w:noProof/>
                <w:webHidden/>
              </w:rPr>
              <w:fldChar w:fldCharType="separate"/>
            </w:r>
            <w:r w:rsidR="00AA475A">
              <w:rPr>
                <w:rFonts w:ascii="Trebuchet MS" w:hAnsi="Trebuchet MS"/>
                <w:noProof/>
                <w:webHidden/>
              </w:rPr>
              <w:t>22</w:t>
            </w:r>
            <w:r w:rsidR="00EF722F" w:rsidRPr="00ED58A9">
              <w:rPr>
                <w:rFonts w:ascii="Trebuchet MS" w:hAnsi="Trebuchet MS"/>
                <w:noProof/>
                <w:webHidden/>
              </w:rPr>
              <w:fldChar w:fldCharType="end"/>
            </w:r>
          </w:hyperlink>
        </w:p>
        <w:p w14:paraId="3633BFDC" w14:textId="19D45AC5" w:rsidR="00C42CB5" w:rsidRPr="00C46DDB" w:rsidRDefault="00C42CB5">
          <w:pPr>
            <w:rPr>
              <w:rFonts w:ascii="Trebuchet MS" w:hAnsi="Trebuchet MS"/>
            </w:rPr>
          </w:pPr>
          <w:r w:rsidRPr="00ED58A9">
            <w:rPr>
              <w:rFonts w:ascii="Trebuchet MS" w:hAnsi="Trebuchet MS"/>
            </w:rPr>
            <w:fldChar w:fldCharType="end"/>
          </w:r>
        </w:p>
      </w:sdtContent>
    </w:sdt>
    <w:p w14:paraId="7AF9B5AF" w14:textId="58BBE87E" w:rsidR="00E5399A" w:rsidRPr="007337C6" w:rsidRDefault="00E5399A" w:rsidP="00E5399A">
      <w:pPr>
        <w:pStyle w:val="Heading1"/>
        <w:ind w:left="360"/>
        <w:rPr>
          <w:color w:val="0070C0"/>
          <w:sz w:val="32"/>
          <w:szCs w:val="32"/>
        </w:rPr>
      </w:pPr>
      <w:r w:rsidRPr="007337C6">
        <w:rPr>
          <w:color w:val="0070C0"/>
          <w:sz w:val="32"/>
          <w:szCs w:val="32"/>
        </w:rPr>
        <w:br w:type="page"/>
      </w:r>
    </w:p>
    <w:p w14:paraId="05DBA147" w14:textId="301C7770" w:rsidR="00B7247C" w:rsidRPr="007337C6" w:rsidRDefault="00B7247C" w:rsidP="00E5399A">
      <w:pPr>
        <w:pStyle w:val="Heading1"/>
        <w:numPr>
          <w:ilvl w:val="0"/>
          <w:numId w:val="1"/>
        </w:numPr>
        <w:rPr>
          <w:color w:val="0070C0"/>
          <w:sz w:val="32"/>
          <w:szCs w:val="32"/>
        </w:rPr>
      </w:pPr>
      <w:bookmarkStart w:id="2" w:name="_Toc52451865"/>
      <w:r w:rsidRPr="007337C6">
        <w:rPr>
          <w:color w:val="0070C0"/>
        </w:rPr>
        <w:lastRenderedPageBreak/>
        <w:t>Introduction</w:t>
      </w:r>
      <w:bookmarkEnd w:id="2"/>
    </w:p>
    <w:p w14:paraId="6C3FDFED" w14:textId="7FEB5D60" w:rsidR="00FF591C" w:rsidRPr="007337C6" w:rsidRDefault="00FF591C" w:rsidP="00FF591C">
      <w:pPr>
        <w:rPr>
          <w:rFonts w:ascii="Trebuchet MS" w:hAnsi="Trebuchet MS"/>
          <w:sz w:val="20"/>
          <w:szCs w:val="20"/>
        </w:rPr>
      </w:pPr>
      <w:r w:rsidRPr="007337C6">
        <w:rPr>
          <w:rFonts w:ascii="Trebuchet MS" w:hAnsi="Trebuchet MS"/>
          <w:sz w:val="20"/>
          <w:szCs w:val="20"/>
        </w:rPr>
        <w:t xml:space="preserve">This </w:t>
      </w:r>
      <w:r w:rsidR="002578D7" w:rsidRPr="007337C6">
        <w:rPr>
          <w:rFonts w:ascii="Trebuchet MS" w:hAnsi="Trebuchet MS"/>
          <w:sz w:val="20"/>
          <w:szCs w:val="20"/>
        </w:rPr>
        <w:t xml:space="preserve">supplementary </w:t>
      </w:r>
      <w:r w:rsidRPr="007337C6">
        <w:rPr>
          <w:rFonts w:ascii="Trebuchet MS" w:hAnsi="Trebuchet MS"/>
          <w:sz w:val="20"/>
          <w:szCs w:val="20"/>
        </w:rPr>
        <w:t>report has been produced by the actuarial function of Assurant to inform the Boards of Assurant General Insurance Limited (</w:t>
      </w:r>
      <w:r w:rsidRPr="007337C6">
        <w:rPr>
          <w:rFonts w:ascii="Trebuchet MS" w:hAnsi="Trebuchet MS"/>
          <w:b/>
          <w:sz w:val="20"/>
          <w:szCs w:val="20"/>
        </w:rPr>
        <w:t>AGIL</w:t>
      </w:r>
      <w:r w:rsidRPr="007337C6">
        <w:rPr>
          <w:rFonts w:ascii="Trebuchet MS" w:hAnsi="Trebuchet MS"/>
          <w:sz w:val="20"/>
          <w:szCs w:val="20"/>
        </w:rPr>
        <w:t>) and London General Insurance Limited (</w:t>
      </w:r>
      <w:r w:rsidRPr="007337C6">
        <w:rPr>
          <w:rFonts w:ascii="Trebuchet MS" w:hAnsi="Trebuchet MS"/>
          <w:b/>
          <w:sz w:val="20"/>
          <w:szCs w:val="20"/>
        </w:rPr>
        <w:t>LGI</w:t>
      </w:r>
      <w:r w:rsidRPr="007337C6">
        <w:rPr>
          <w:rFonts w:ascii="Trebuchet MS" w:hAnsi="Trebuchet MS"/>
          <w:sz w:val="20"/>
          <w:szCs w:val="20"/>
        </w:rPr>
        <w:t>)</w:t>
      </w:r>
      <w:r w:rsidR="002578D7" w:rsidRPr="007337C6">
        <w:rPr>
          <w:rFonts w:ascii="Trebuchet MS" w:hAnsi="Trebuchet MS"/>
          <w:sz w:val="20"/>
          <w:szCs w:val="20"/>
        </w:rPr>
        <w:t xml:space="preserve">, </w:t>
      </w:r>
      <w:r w:rsidR="00265EAB" w:rsidRPr="007337C6">
        <w:rPr>
          <w:rFonts w:ascii="Trebuchet MS" w:hAnsi="Trebuchet MS"/>
          <w:sz w:val="20"/>
          <w:szCs w:val="20"/>
        </w:rPr>
        <w:t xml:space="preserve">of any update and new information </w:t>
      </w:r>
      <w:r w:rsidR="002578D7" w:rsidRPr="007337C6">
        <w:rPr>
          <w:rFonts w:ascii="Trebuchet MS" w:hAnsi="Trebuchet MS"/>
          <w:sz w:val="20"/>
          <w:szCs w:val="20"/>
        </w:rPr>
        <w:t xml:space="preserve">in addition to the report issued by the actuarial function on </w:t>
      </w:r>
      <w:r w:rsidR="007E005A" w:rsidRPr="007337C6">
        <w:rPr>
          <w:rFonts w:ascii="Trebuchet MS" w:hAnsi="Trebuchet MS"/>
          <w:sz w:val="20"/>
          <w:szCs w:val="20"/>
        </w:rPr>
        <w:t>18</w:t>
      </w:r>
      <w:r w:rsidR="00082924">
        <w:rPr>
          <w:rFonts w:ascii="Trebuchet MS" w:hAnsi="Trebuchet MS"/>
          <w:sz w:val="20"/>
          <w:szCs w:val="20"/>
        </w:rPr>
        <w:t xml:space="preserve"> June </w:t>
      </w:r>
      <w:r w:rsidR="002578D7" w:rsidRPr="007337C6">
        <w:rPr>
          <w:rFonts w:ascii="Trebuchet MS" w:hAnsi="Trebuchet MS"/>
          <w:sz w:val="20"/>
          <w:szCs w:val="20"/>
        </w:rPr>
        <w:t>2020</w:t>
      </w:r>
      <w:r w:rsidR="003F382C" w:rsidRPr="007337C6">
        <w:rPr>
          <w:rStyle w:val="FootnoteReference"/>
          <w:rFonts w:ascii="Trebuchet MS" w:hAnsi="Trebuchet MS"/>
          <w:sz w:val="20"/>
          <w:szCs w:val="20"/>
        </w:rPr>
        <w:footnoteReference w:id="1"/>
      </w:r>
      <w:r w:rsidR="002578D7" w:rsidRPr="007337C6">
        <w:rPr>
          <w:rFonts w:ascii="Trebuchet MS" w:hAnsi="Trebuchet MS"/>
          <w:sz w:val="20"/>
          <w:szCs w:val="20"/>
        </w:rPr>
        <w:t xml:space="preserve"> </w:t>
      </w:r>
      <w:r w:rsidRPr="007337C6">
        <w:rPr>
          <w:rFonts w:ascii="Trebuchet MS" w:hAnsi="Trebuchet MS"/>
          <w:sz w:val="20"/>
          <w:szCs w:val="20"/>
        </w:rPr>
        <w:t>with relation to the proposed Part VII transfer of the non-UK</w:t>
      </w:r>
      <w:r w:rsidR="001D57FF">
        <w:rPr>
          <w:rFonts w:ascii="Trebuchet MS" w:hAnsi="Trebuchet MS"/>
          <w:sz w:val="20"/>
          <w:szCs w:val="20"/>
        </w:rPr>
        <w:t>, non-South Africa</w:t>
      </w:r>
      <w:r w:rsidRPr="007337C6">
        <w:rPr>
          <w:rFonts w:ascii="Trebuchet MS" w:hAnsi="Trebuchet MS"/>
          <w:sz w:val="20"/>
          <w:szCs w:val="20"/>
        </w:rPr>
        <w:t xml:space="preserve"> and non-Switzerland insurance policies of AGIL and LGI</w:t>
      </w:r>
      <w:r w:rsidR="00CB2A61" w:rsidRPr="007337C6">
        <w:rPr>
          <w:rFonts w:ascii="Trebuchet MS" w:hAnsi="Trebuchet MS"/>
          <w:sz w:val="20"/>
          <w:szCs w:val="20"/>
        </w:rPr>
        <w:t xml:space="preserve"> </w:t>
      </w:r>
      <w:r w:rsidRPr="007337C6">
        <w:rPr>
          <w:rFonts w:ascii="Trebuchet MS" w:hAnsi="Trebuchet MS"/>
          <w:sz w:val="20"/>
          <w:szCs w:val="20"/>
        </w:rPr>
        <w:t>(</w:t>
      </w:r>
      <w:r w:rsidR="00C407B1" w:rsidRPr="007337C6">
        <w:rPr>
          <w:rFonts w:ascii="Trebuchet MS" w:hAnsi="Trebuchet MS"/>
          <w:b/>
          <w:bCs/>
          <w:sz w:val="20"/>
          <w:szCs w:val="20"/>
        </w:rPr>
        <w:t>the Transfer</w:t>
      </w:r>
      <w:r w:rsidRPr="007337C6">
        <w:rPr>
          <w:rFonts w:ascii="Trebuchet MS" w:hAnsi="Trebuchet MS"/>
          <w:b/>
          <w:bCs/>
          <w:sz w:val="20"/>
          <w:szCs w:val="20"/>
        </w:rPr>
        <w:t>ors</w:t>
      </w:r>
      <w:r w:rsidRPr="007337C6">
        <w:rPr>
          <w:rFonts w:ascii="Trebuchet MS" w:hAnsi="Trebuchet MS"/>
          <w:sz w:val="20"/>
          <w:szCs w:val="20"/>
        </w:rPr>
        <w:t>) to Assurant Europe Insurance N.V.(</w:t>
      </w:r>
      <w:r w:rsidRPr="007337C6">
        <w:rPr>
          <w:rFonts w:ascii="Trebuchet MS" w:hAnsi="Trebuchet MS"/>
          <w:b/>
          <w:sz w:val="20"/>
          <w:szCs w:val="20"/>
        </w:rPr>
        <w:t>AEI</w:t>
      </w:r>
      <w:r w:rsidRPr="007337C6">
        <w:rPr>
          <w:rFonts w:ascii="Trebuchet MS" w:hAnsi="Trebuchet MS"/>
          <w:sz w:val="20"/>
          <w:szCs w:val="20"/>
        </w:rPr>
        <w:t>) in the Netherlands (the Scheme</w:t>
      </w:r>
      <w:r w:rsidR="00CB2A61" w:rsidRPr="003C27AC">
        <w:rPr>
          <w:rFonts w:ascii="Trebuchet MS" w:hAnsi="Trebuchet MS"/>
          <w:vertAlign w:val="superscript"/>
        </w:rPr>
        <w:footnoteReference w:id="2"/>
      </w:r>
      <w:r w:rsidRPr="007337C6">
        <w:rPr>
          <w:rFonts w:ascii="Trebuchet MS" w:hAnsi="Trebuchet MS"/>
          <w:sz w:val="20"/>
          <w:szCs w:val="20"/>
        </w:rPr>
        <w:t xml:space="preserve">). Subject to obtaining regulatory and court approvals, the Scheme is intended to take effect on </w:t>
      </w:r>
      <w:r w:rsidR="002578D7" w:rsidRPr="007337C6">
        <w:rPr>
          <w:rFonts w:ascii="Trebuchet MS" w:hAnsi="Trebuchet MS"/>
          <w:sz w:val="20"/>
          <w:szCs w:val="20"/>
        </w:rPr>
        <w:t>2 November</w:t>
      </w:r>
      <w:r w:rsidRPr="007337C6">
        <w:rPr>
          <w:rFonts w:ascii="Trebuchet MS" w:hAnsi="Trebuchet MS"/>
          <w:sz w:val="20"/>
          <w:szCs w:val="20"/>
        </w:rPr>
        <w:t xml:space="preserve"> 2020 (the Effective Date).</w:t>
      </w:r>
    </w:p>
    <w:p w14:paraId="06DC435D" w14:textId="77777777" w:rsidR="00E328A9" w:rsidRPr="006D7BB8" w:rsidRDefault="00E328A9" w:rsidP="00E328A9">
      <w:pPr>
        <w:rPr>
          <w:rFonts w:ascii="Trebuchet MS" w:hAnsi="Trebuchet MS"/>
          <w:sz w:val="20"/>
          <w:szCs w:val="20"/>
        </w:rPr>
      </w:pPr>
      <w:r w:rsidRPr="006D7BB8">
        <w:rPr>
          <w:rFonts w:ascii="Trebuchet MS" w:hAnsi="Trebuchet MS"/>
          <w:sz w:val="20"/>
          <w:szCs w:val="20"/>
        </w:rPr>
        <w:t>Derek Newton, a Principal at Milliman, has been appointed to produce a report on the terms of the Scheme in his capacity as Independent Expert pursuant to section 109(2) of the Financial Services and Markets Act 2000 (FSMA). Derek Newton has produced his Independent Expert report on 13/06/2020 and will also produce a supplementary report providing an updated assessment of the likely effects of the proposed Scheme ahead of the sanction hearing on 20 October 2020.</w:t>
      </w:r>
    </w:p>
    <w:p w14:paraId="3F6C3DE5" w14:textId="20B0CC75" w:rsidR="00762C3A" w:rsidRPr="007337C6" w:rsidRDefault="00FF591C" w:rsidP="00FF591C">
      <w:pPr>
        <w:rPr>
          <w:rFonts w:ascii="Trebuchet MS" w:hAnsi="Trebuchet MS"/>
          <w:sz w:val="20"/>
          <w:szCs w:val="20"/>
        </w:rPr>
      </w:pPr>
      <w:r w:rsidRPr="007337C6">
        <w:rPr>
          <w:rFonts w:ascii="Trebuchet MS" w:hAnsi="Trebuchet MS"/>
          <w:sz w:val="20"/>
          <w:szCs w:val="20"/>
        </w:rPr>
        <w:t xml:space="preserve">In </w:t>
      </w:r>
      <w:r w:rsidR="00265EAB" w:rsidRPr="007337C6">
        <w:rPr>
          <w:rFonts w:ascii="Trebuchet MS" w:hAnsi="Trebuchet MS"/>
          <w:sz w:val="20"/>
          <w:szCs w:val="20"/>
        </w:rPr>
        <w:t xml:space="preserve">the first report issued on </w:t>
      </w:r>
      <w:r w:rsidR="00E96AF0" w:rsidRPr="007337C6">
        <w:rPr>
          <w:rFonts w:ascii="Trebuchet MS" w:hAnsi="Trebuchet MS"/>
          <w:sz w:val="20"/>
          <w:szCs w:val="20"/>
        </w:rPr>
        <w:t>1</w:t>
      </w:r>
      <w:r w:rsidR="001D57FF">
        <w:rPr>
          <w:rFonts w:ascii="Trebuchet MS" w:hAnsi="Trebuchet MS"/>
          <w:sz w:val="20"/>
          <w:szCs w:val="20"/>
        </w:rPr>
        <w:t>8</w:t>
      </w:r>
      <w:r w:rsidR="00E96AF0" w:rsidRPr="007337C6">
        <w:rPr>
          <w:rFonts w:ascii="Trebuchet MS" w:hAnsi="Trebuchet MS"/>
          <w:sz w:val="20"/>
          <w:szCs w:val="20"/>
        </w:rPr>
        <w:t>/06/2020</w:t>
      </w:r>
      <w:r w:rsidRPr="007337C6">
        <w:rPr>
          <w:rFonts w:ascii="Trebuchet MS" w:hAnsi="Trebuchet MS"/>
          <w:sz w:val="20"/>
          <w:szCs w:val="20"/>
        </w:rPr>
        <w:t xml:space="preserve">, I </w:t>
      </w:r>
      <w:r w:rsidR="00762C3A" w:rsidRPr="007337C6">
        <w:rPr>
          <w:rFonts w:ascii="Trebuchet MS" w:hAnsi="Trebuchet MS"/>
          <w:sz w:val="20"/>
          <w:szCs w:val="20"/>
        </w:rPr>
        <w:t>performed</w:t>
      </w:r>
      <w:r w:rsidRPr="007337C6">
        <w:rPr>
          <w:rFonts w:ascii="Trebuchet MS" w:hAnsi="Trebuchet MS"/>
          <w:sz w:val="20"/>
          <w:szCs w:val="20"/>
        </w:rPr>
        <w:t xml:space="preserve"> the valuation as at 31 December 2019 and projected roll forward </w:t>
      </w:r>
      <w:r w:rsidR="00762C3A" w:rsidRPr="007337C6">
        <w:rPr>
          <w:rFonts w:ascii="Trebuchet MS" w:hAnsi="Trebuchet MS"/>
          <w:sz w:val="20"/>
          <w:szCs w:val="20"/>
        </w:rPr>
        <w:t xml:space="preserve">capital </w:t>
      </w:r>
      <w:r w:rsidRPr="007337C6">
        <w:rPr>
          <w:rFonts w:ascii="Trebuchet MS" w:hAnsi="Trebuchet MS"/>
          <w:sz w:val="20"/>
          <w:szCs w:val="20"/>
        </w:rPr>
        <w:t xml:space="preserve">positions to 30 September 2020. This </w:t>
      </w:r>
      <w:r w:rsidR="00E96AF0" w:rsidRPr="007337C6">
        <w:rPr>
          <w:rFonts w:ascii="Trebuchet MS" w:hAnsi="Trebuchet MS"/>
          <w:sz w:val="20"/>
          <w:szCs w:val="20"/>
        </w:rPr>
        <w:t xml:space="preserve">was </w:t>
      </w:r>
      <w:r w:rsidRPr="007337C6">
        <w:rPr>
          <w:rFonts w:ascii="Trebuchet MS" w:hAnsi="Trebuchet MS"/>
          <w:sz w:val="20"/>
          <w:szCs w:val="20"/>
        </w:rPr>
        <w:t xml:space="preserve">to allow evaluation of </w:t>
      </w:r>
      <w:r w:rsidR="00C407B1" w:rsidRPr="007337C6">
        <w:rPr>
          <w:rFonts w:ascii="Trebuchet MS" w:hAnsi="Trebuchet MS"/>
          <w:sz w:val="20"/>
          <w:szCs w:val="20"/>
        </w:rPr>
        <w:t>the Transfer</w:t>
      </w:r>
      <w:r w:rsidRPr="007337C6">
        <w:rPr>
          <w:rFonts w:ascii="Trebuchet MS" w:hAnsi="Trebuchet MS"/>
          <w:sz w:val="20"/>
          <w:szCs w:val="20"/>
        </w:rPr>
        <w:t xml:space="preserve"> </w:t>
      </w:r>
      <w:r w:rsidR="00762C3A" w:rsidRPr="007337C6">
        <w:rPr>
          <w:rFonts w:ascii="Trebuchet MS" w:hAnsi="Trebuchet MS"/>
          <w:sz w:val="20"/>
          <w:szCs w:val="20"/>
        </w:rPr>
        <w:t>using the booked amounts and audited</w:t>
      </w:r>
      <w:r w:rsidR="008B15DC" w:rsidRPr="007337C6">
        <w:rPr>
          <w:rStyle w:val="FootnoteReference"/>
          <w:rFonts w:ascii="Trebuchet MS" w:hAnsi="Trebuchet MS"/>
          <w:sz w:val="20"/>
          <w:szCs w:val="20"/>
        </w:rPr>
        <w:footnoteReference w:id="3"/>
      </w:r>
      <w:r w:rsidR="00762C3A" w:rsidRPr="007337C6">
        <w:rPr>
          <w:rFonts w:ascii="Trebuchet MS" w:hAnsi="Trebuchet MS"/>
          <w:sz w:val="20"/>
          <w:szCs w:val="20"/>
        </w:rPr>
        <w:t xml:space="preserve"> financial statements</w:t>
      </w:r>
      <w:r w:rsidR="005277E5" w:rsidRPr="007337C6">
        <w:rPr>
          <w:rFonts w:ascii="Trebuchet MS" w:hAnsi="Trebuchet MS"/>
          <w:sz w:val="20"/>
          <w:szCs w:val="20"/>
        </w:rPr>
        <w:t>,</w:t>
      </w:r>
      <w:r w:rsidR="00762C3A" w:rsidRPr="007337C6">
        <w:rPr>
          <w:rFonts w:ascii="Trebuchet MS" w:hAnsi="Trebuchet MS"/>
          <w:sz w:val="20"/>
          <w:szCs w:val="20"/>
        </w:rPr>
        <w:t xml:space="preserve"> </w:t>
      </w:r>
      <w:r w:rsidR="005277E5" w:rsidRPr="007337C6">
        <w:rPr>
          <w:rFonts w:ascii="Trebuchet MS" w:hAnsi="Trebuchet MS"/>
          <w:sz w:val="20"/>
          <w:szCs w:val="20"/>
        </w:rPr>
        <w:t>and</w:t>
      </w:r>
      <w:r w:rsidR="00762C3A" w:rsidRPr="007337C6">
        <w:rPr>
          <w:rFonts w:ascii="Trebuchet MS" w:hAnsi="Trebuchet MS"/>
          <w:sz w:val="20"/>
          <w:szCs w:val="20"/>
        </w:rPr>
        <w:t xml:space="preserve"> to give the view of capital </w:t>
      </w:r>
      <w:r w:rsidRPr="007337C6">
        <w:rPr>
          <w:rFonts w:ascii="Trebuchet MS" w:hAnsi="Trebuchet MS"/>
          <w:sz w:val="20"/>
          <w:szCs w:val="20"/>
        </w:rPr>
        <w:t>at the nearest quarter end before the Effective Date.</w:t>
      </w:r>
      <w:r w:rsidR="00D43201" w:rsidRPr="007337C6">
        <w:rPr>
          <w:rFonts w:ascii="Trebuchet MS" w:hAnsi="Trebuchet MS"/>
          <w:sz w:val="20"/>
          <w:szCs w:val="20"/>
        </w:rPr>
        <w:t xml:space="preserve"> </w:t>
      </w:r>
      <w:r w:rsidR="00762C3A" w:rsidRPr="007337C6">
        <w:rPr>
          <w:rFonts w:ascii="Trebuchet MS" w:hAnsi="Trebuchet MS"/>
          <w:sz w:val="20"/>
          <w:szCs w:val="20"/>
        </w:rPr>
        <w:t xml:space="preserve">In doing my valuation as at 31 December 2019, I assumed the </w:t>
      </w:r>
      <w:r w:rsidR="004A5F40" w:rsidRPr="007337C6">
        <w:rPr>
          <w:rFonts w:ascii="Trebuchet MS" w:hAnsi="Trebuchet MS"/>
          <w:sz w:val="20"/>
          <w:szCs w:val="20"/>
        </w:rPr>
        <w:t>Part VII</w:t>
      </w:r>
      <w:r w:rsidR="005277E5" w:rsidRPr="007337C6">
        <w:rPr>
          <w:rFonts w:ascii="Trebuchet MS" w:hAnsi="Trebuchet MS"/>
          <w:sz w:val="20"/>
          <w:szCs w:val="20"/>
        </w:rPr>
        <w:t xml:space="preserve"> t</w:t>
      </w:r>
      <w:r w:rsidR="00762C3A" w:rsidRPr="007337C6">
        <w:rPr>
          <w:rFonts w:ascii="Trebuchet MS" w:hAnsi="Trebuchet MS"/>
          <w:sz w:val="20"/>
          <w:szCs w:val="20"/>
        </w:rPr>
        <w:t>ransfer happening as at 31 December 2019 and this is referred to in th</w:t>
      </w:r>
      <w:r w:rsidR="00D30C2F" w:rsidRPr="007337C6">
        <w:rPr>
          <w:rFonts w:ascii="Trebuchet MS" w:hAnsi="Trebuchet MS"/>
          <w:sz w:val="20"/>
          <w:szCs w:val="20"/>
        </w:rPr>
        <w:t>e first report and in the present one</w:t>
      </w:r>
      <w:r w:rsidR="00762C3A" w:rsidRPr="007337C6">
        <w:rPr>
          <w:rFonts w:ascii="Trebuchet MS" w:hAnsi="Trebuchet MS"/>
          <w:sz w:val="20"/>
          <w:szCs w:val="20"/>
        </w:rPr>
        <w:t xml:space="preserve"> as the </w:t>
      </w:r>
      <w:r w:rsidR="00DE6ACA" w:rsidRPr="007337C6">
        <w:rPr>
          <w:rFonts w:ascii="Trebuchet MS" w:hAnsi="Trebuchet MS"/>
          <w:sz w:val="20"/>
          <w:szCs w:val="20"/>
        </w:rPr>
        <w:t>“as-if” Transfer</w:t>
      </w:r>
      <w:r w:rsidR="00762C3A" w:rsidRPr="007337C6">
        <w:rPr>
          <w:rFonts w:ascii="Trebuchet MS" w:hAnsi="Trebuchet MS"/>
          <w:sz w:val="20"/>
          <w:szCs w:val="20"/>
        </w:rPr>
        <w:t xml:space="preserve">, while the actual </w:t>
      </w:r>
      <w:r w:rsidR="005277E5" w:rsidRPr="007337C6">
        <w:rPr>
          <w:rFonts w:ascii="Trebuchet MS" w:hAnsi="Trebuchet MS"/>
          <w:sz w:val="20"/>
          <w:szCs w:val="20"/>
        </w:rPr>
        <w:t>Part VII transfer (</w:t>
      </w:r>
      <w:r w:rsidR="00C407B1" w:rsidRPr="007337C6">
        <w:rPr>
          <w:rFonts w:ascii="Trebuchet MS" w:hAnsi="Trebuchet MS"/>
          <w:sz w:val="20"/>
          <w:szCs w:val="20"/>
        </w:rPr>
        <w:t>the Transfer</w:t>
      </w:r>
      <w:r w:rsidR="005277E5" w:rsidRPr="007337C6">
        <w:rPr>
          <w:rFonts w:ascii="Trebuchet MS" w:hAnsi="Trebuchet MS"/>
          <w:sz w:val="20"/>
          <w:szCs w:val="20"/>
        </w:rPr>
        <w:t>)</w:t>
      </w:r>
      <w:r w:rsidR="00762C3A" w:rsidRPr="007337C6">
        <w:rPr>
          <w:rFonts w:ascii="Trebuchet MS" w:hAnsi="Trebuchet MS"/>
          <w:sz w:val="20"/>
          <w:szCs w:val="20"/>
        </w:rPr>
        <w:t xml:space="preserve"> takes place on </w:t>
      </w:r>
      <w:r w:rsidR="002578D7" w:rsidRPr="007337C6">
        <w:rPr>
          <w:rFonts w:ascii="Trebuchet MS" w:hAnsi="Trebuchet MS"/>
          <w:sz w:val="20"/>
          <w:szCs w:val="20"/>
        </w:rPr>
        <w:t>2 November</w:t>
      </w:r>
      <w:r w:rsidR="00762C3A" w:rsidRPr="007337C6">
        <w:rPr>
          <w:rFonts w:ascii="Trebuchet MS" w:hAnsi="Trebuchet MS"/>
          <w:sz w:val="20"/>
          <w:szCs w:val="20"/>
        </w:rPr>
        <w:t xml:space="preserve"> 2020. I have also constructed pro-forma financial statements from the actual financial statements as at 31 December 2019 as part of my evaluation of the </w:t>
      </w:r>
      <w:r w:rsidR="00DE6ACA" w:rsidRPr="007337C6">
        <w:rPr>
          <w:rFonts w:ascii="Trebuchet MS" w:hAnsi="Trebuchet MS"/>
          <w:sz w:val="20"/>
          <w:szCs w:val="20"/>
        </w:rPr>
        <w:t>“as-if” Transfer</w:t>
      </w:r>
      <w:r w:rsidR="00762C3A" w:rsidRPr="007337C6">
        <w:rPr>
          <w:rFonts w:ascii="Trebuchet MS" w:hAnsi="Trebuchet MS"/>
          <w:sz w:val="20"/>
          <w:szCs w:val="20"/>
        </w:rPr>
        <w:t>.</w:t>
      </w:r>
      <w:r w:rsidR="00D30C2F" w:rsidRPr="007337C6">
        <w:rPr>
          <w:rFonts w:ascii="Trebuchet MS" w:hAnsi="Trebuchet MS"/>
          <w:sz w:val="20"/>
          <w:szCs w:val="20"/>
        </w:rPr>
        <w:t xml:space="preserve"> In addition, in this supplementary report I have included the financial position as at 30 June 2020 (2Q20) and commented on the movements from YE19 to 2Q20. I have also </w:t>
      </w:r>
      <w:r w:rsidR="00B6796B" w:rsidRPr="007337C6">
        <w:rPr>
          <w:rFonts w:ascii="Trebuchet MS" w:hAnsi="Trebuchet MS"/>
          <w:sz w:val="20"/>
          <w:szCs w:val="20"/>
        </w:rPr>
        <w:t>updated</w:t>
      </w:r>
      <w:r w:rsidR="00D30C2F" w:rsidRPr="007337C6">
        <w:rPr>
          <w:rFonts w:ascii="Trebuchet MS" w:hAnsi="Trebuchet MS"/>
          <w:sz w:val="20"/>
          <w:szCs w:val="20"/>
        </w:rPr>
        <w:t xml:space="preserve"> the 3Q20 forecast, as the 2020 business plan is now </w:t>
      </w:r>
      <w:r w:rsidR="00664E4A">
        <w:rPr>
          <w:rFonts w:ascii="Trebuchet MS" w:hAnsi="Trebuchet MS"/>
          <w:sz w:val="20"/>
          <w:szCs w:val="20"/>
        </w:rPr>
        <w:t xml:space="preserve">more than </w:t>
      </w:r>
      <w:r w:rsidR="00D30C2F" w:rsidRPr="007337C6">
        <w:rPr>
          <w:rFonts w:ascii="Trebuchet MS" w:hAnsi="Trebuchet MS"/>
          <w:sz w:val="20"/>
          <w:szCs w:val="20"/>
        </w:rPr>
        <w:t xml:space="preserve">half-way through in the year and there is more information available to the business which feeds through </w:t>
      </w:r>
      <w:r w:rsidR="00B6796B" w:rsidRPr="007337C6">
        <w:rPr>
          <w:rFonts w:ascii="Trebuchet MS" w:hAnsi="Trebuchet MS"/>
          <w:sz w:val="20"/>
          <w:szCs w:val="20"/>
        </w:rPr>
        <w:t>and necessitates updat</w:t>
      </w:r>
      <w:r w:rsidR="00C54FAA" w:rsidRPr="007337C6">
        <w:rPr>
          <w:rFonts w:ascii="Trebuchet MS" w:hAnsi="Trebuchet MS"/>
          <w:sz w:val="20"/>
          <w:szCs w:val="20"/>
        </w:rPr>
        <w:t>ing</w:t>
      </w:r>
      <w:r w:rsidR="00B6796B" w:rsidRPr="007337C6">
        <w:rPr>
          <w:rFonts w:ascii="Trebuchet MS" w:hAnsi="Trebuchet MS"/>
          <w:sz w:val="20"/>
          <w:szCs w:val="20"/>
        </w:rPr>
        <w:t xml:space="preserve"> </w:t>
      </w:r>
      <w:r w:rsidR="00D30C2F" w:rsidRPr="007337C6">
        <w:rPr>
          <w:rFonts w:ascii="Trebuchet MS" w:hAnsi="Trebuchet MS"/>
          <w:sz w:val="20"/>
          <w:szCs w:val="20"/>
        </w:rPr>
        <w:t>the forecast of 3Q20 position.</w:t>
      </w:r>
    </w:p>
    <w:p w14:paraId="32B26DD5" w14:textId="0269046F" w:rsidR="00FF591C" w:rsidRPr="007337C6" w:rsidRDefault="00FF591C" w:rsidP="00FF591C">
      <w:pPr>
        <w:rPr>
          <w:rFonts w:ascii="Trebuchet MS" w:hAnsi="Trebuchet MS"/>
          <w:sz w:val="20"/>
          <w:szCs w:val="20"/>
        </w:rPr>
      </w:pPr>
      <w:r w:rsidRPr="007337C6">
        <w:rPr>
          <w:rFonts w:ascii="Trebuchet MS" w:hAnsi="Trebuchet MS"/>
          <w:sz w:val="20"/>
          <w:szCs w:val="20"/>
        </w:rPr>
        <w:t>As part of this transferring procedure and the actuarial function duties, I, William Diffey, Fellow of the Institute of Actuaries, as the Chief Actuary (SIMR20) of both AGIL and LGI, am performing an analysis of the proposed transfer under the Scheme with the aim of informing the Boards of AGIL and LGI</w:t>
      </w:r>
      <w:r w:rsidR="00C407B1" w:rsidRPr="007337C6">
        <w:rPr>
          <w:rFonts w:ascii="Trebuchet MS" w:hAnsi="Trebuchet MS"/>
          <w:sz w:val="20"/>
          <w:szCs w:val="20"/>
        </w:rPr>
        <w:t>, and</w:t>
      </w:r>
      <w:r w:rsidRPr="007337C6">
        <w:rPr>
          <w:rFonts w:ascii="Trebuchet MS" w:hAnsi="Trebuchet MS"/>
          <w:sz w:val="20"/>
          <w:szCs w:val="20"/>
        </w:rPr>
        <w:t xml:space="preserve"> with the intention that this report will also be provided to the Prudential Regulation Authority (</w:t>
      </w:r>
      <w:r w:rsidRPr="007337C6">
        <w:rPr>
          <w:rFonts w:ascii="Trebuchet MS" w:hAnsi="Trebuchet MS"/>
          <w:b/>
          <w:sz w:val="20"/>
          <w:szCs w:val="20"/>
        </w:rPr>
        <w:t>PRA</w:t>
      </w:r>
      <w:r w:rsidRPr="007337C6">
        <w:rPr>
          <w:rFonts w:ascii="Trebuchet MS" w:hAnsi="Trebuchet MS"/>
          <w:sz w:val="20"/>
          <w:szCs w:val="20"/>
        </w:rPr>
        <w:t>) and the Financial Conduct Authority (</w:t>
      </w:r>
      <w:r w:rsidRPr="007337C6">
        <w:rPr>
          <w:rFonts w:ascii="Trebuchet MS" w:hAnsi="Trebuchet MS"/>
          <w:b/>
          <w:sz w:val="20"/>
          <w:szCs w:val="20"/>
        </w:rPr>
        <w:t>FCA</w:t>
      </w:r>
      <w:r w:rsidRPr="007337C6">
        <w:rPr>
          <w:rFonts w:ascii="Trebuchet MS" w:hAnsi="Trebuchet MS"/>
          <w:sz w:val="20"/>
          <w:szCs w:val="20"/>
        </w:rPr>
        <w:t xml:space="preserve">). As such, this report is written with Part VII of FSMA in mind. </w:t>
      </w:r>
    </w:p>
    <w:p w14:paraId="022C4C77" w14:textId="77777777" w:rsidR="00FF591C" w:rsidRPr="007337C6" w:rsidRDefault="00FF591C" w:rsidP="00FF591C">
      <w:pPr>
        <w:rPr>
          <w:rFonts w:ascii="Trebuchet MS" w:hAnsi="Trebuchet MS"/>
          <w:sz w:val="20"/>
          <w:szCs w:val="20"/>
        </w:rPr>
      </w:pPr>
      <w:r w:rsidRPr="007337C6">
        <w:rPr>
          <w:rFonts w:ascii="Trebuchet MS" w:hAnsi="Trebuchet MS"/>
          <w:sz w:val="20"/>
          <w:szCs w:val="20"/>
        </w:rPr>
        <w:t>The objectives of this report are to:</w:t>
      </w:r>
    </w:p>
    <w:p w14:paraId="36EB4E6F" w14:textId="56C2890F" w:rsidR="00D43201" w:rsidRPr="007337C6" w:rsidRDefault="00D43201" w:rsidP="00FF591C">
      <w:pPr>
        <w:pStyle w:val="ListParagraph"/>
        <w:numPr>
          <w:ilvl w:val="0"/>
          <w:numId w:val="8"/>
        </w:numPr>
        <w:rPr>
          <w:rFonts w:ascii="Trebuchet MS" w:hAnsi="Trebuchet MS"/>
          <w:sz w:val="20"/>
          <w:szCs w:val="20"/>
        </w:rPr>
      </w:pPr>
      <w:r w:rsidRPr="007337C6">
        <w:rPr>
          <w:rFonts w:ascii="Trebuchet MS" w:hAnsi="Trebuchet MS"/>
          <w:sz w:val="20"/>
          <w:szCs w:val="20"/>
        </w:rPr>
        <w:t>Provide any relevant additional information impacting the Transfer since the issuance of the initial report</w:t>
      </w:r>
    </w:p>
    <w:p w14:paraId="539A2AA8" w14:textId="4A6760F3" w:rsidR="00D43201" w:rsidRPr="007337C6" w:rsidRDefault="00D43201" w:rsidP="00D43201">
      <w:pPr>
        <w:pStyle w:val="ListParagraph"/>
        <w:numPr>
          <w:ilvl w:val="1"/>
          <w:numId w:val="8"/>
        </w:numPr>
        <w:rPr>
          <w:rFonts w:ascii="Trebuchet MS" w:hAnsi="Trebuchet MS"/>
          <w:sz w:val="20"/>
          <w:szCs w:val="20"/>
        </w:rPr>
      </w:pPr>
      <w:r w:rsidRPr="007337C6">
        <w:rPr>
          <w:rFonts w:ascii="Trebuchet MS" w:hAnsi="Trebuchet MS"/>
          <w:sz w:val="20"/>
          <w:szCs w:val="20"/>
        </w:rPr>
        <w:t>Update of business activities related to the transferring and non-transferring portfolios</w:t>
      </w:r>
    </w:p>
    <w:p w14:paraId="0010F3F2" w14:textId="7DE08269" w:rsidR="00D43201" w:rsidRPr="007337C6" w:rsidRDefault="00D43201" w:rsidP="00D43201">
      <w:pPr>
        <w:pStyle w:val="ListParagraph"/>
        <w:numPr>
          <w:ilvl w:val="1"/>
          <w:numId w:val="8"/>
        </w:numPr>
        <w:rPr>
          <w:rFonts w:ascii="Trebuchet MS" w:hAnsi="Trebuchet MS"/>
          <w:sz w:val="20"/>
          <w:szCs w:val="20"/>
        </w:rPr>
      </w:pPr>
      <w:r w:rsidRPr="007337C6">
        <w:rPr>
          <w:rFonts w:ascii="Trebuchet MS" w:hAnsi="Trebuchet MS"/>
          <w:sz w:val="20"/>
          <w:szCs w:val="20"/>
        </w:rPr>
        <w:t>Update of the financials as at YE19 and 3Q20 forecast.</w:t>
      </w:r>
    </w:p>
    <w:p w14:paraId="15718D97" w14:textId="2054026C" w:rsidR="00D43201" w:rsidRPr="007337C6" w:rsidRDefault="00F35C32" w:rsidP="00D43201">
      <w:pPr>
        <w:pStyle w:val="ListParagraph"/>
        <w:numPr>
          <w:ilvl w:val="1"/>
          <w:numId w:val="8"/>
        </w:numPr>
        <w:rPr>
          <w:rFonts w:ascii="Trebuchet MS" w:hAnsi="Trebuchet MS"/>
          <w:sz w:val="20"/>
          <w:szCs w:val="20"/>
        </w:rPr>
      </w:pPr>
      <w:r w:rsidRPr="007337C6">
        <w:rPr>
          <w:rFonts w:ascii="Trebuchet MS" w:hAnsi="Trebuchet MS"/>
          <w:sz w:val="20"/>
          <w:szCs w:val="20"/>
        </w:rPr>
        <w:t>Provide and comment on f</w:t>
      </w:r>
      <w:r w:rsidR="00D43201" w:rsidRPr="007337C6">
        <w:rPr>
          <w:rFonts w:ascii="Trebuchet MS" w:hAnsi="Trebuchet MS"/>
          <w:sz w:val="20"/>
          <w:szCs w:val="20"/>
        </w:rPr>
        <w:t>inancials as at 2Q20</w:t>
      </w:r>
    </w:p>
    <w:p w14:paraId="787E1AAA" w14:textId="0BAF6BF4" w:rsidR="00FF591C" w:rsidRPr="007337C6" w:rsidRDefault="001B0BE2" w:rsidP="00FF591C">
      <w:pPr>
        <w:pStyle w:val="ListParagraph"/>
        <w:numPr>
          <w:ilvl w:val="0"/>
          <w:numId w:val="8"/>
        </w:numPr>
        <w:rPr>
          <w:rFonts w:ascii="Trebuchet MS" w:hAnsi="Trebuchet MS"/>
          <w:sz w:val="20"/>
          <w:szCs w:val="20"/>
        </w:rPr>
      </w:pPr>
      <w:r w:rsidRPr="007337C6">
        <w:rPr>
          <w:rFonts w:ascii="Trebuchet MS" w:hAnsi="Trebuchet MS"/>
          <w:sz w:val="20"/>
          <w:szCs w:val="20"/>
        </w:rPr>
        <w:t>Provide an update in the process</w:t>
      </w:r>
      <w:r w:rsidR="00FC3318" w:rsidRPr="007337C6">
        <w:rPr>
          <w:rFonts w:ascii="Trebuchet MS" w:hAnsi="Trebuchet MS"/>
          <w:sz w:val="20"/>
          <w:szCs w:val="20"/>
        </w:rPr>
        <w:t xml:space="preserve">es linked to the Part VII </w:t>
      </w:r>
      <w:r w:rsidRPr="007337C6">
        <w:rPr>
          <w:rFonts w:ascii="Trebuchet MS" w:hAnsi="Trebuchet MS"/>
          <w:sz w:val="20"/>
          <w:szCs w:val="20"/>
        </w:rPr>
        <w:t>transfer</w:t>
      </w:r>
      <w:r w:rsidR="00FC3318" w:rsidRPr="007337C6">
        <w:rPr>
          <w:rFonts w:ascii="Trebuchet MS" w:hAnsi="Trebuchet MS"/>
          <w:sz w:val="20"/>
          <w:szCs w:val="20"/>
        </w:rPr>
        <w:t>, especially the processes with regards to</w:t>
      </w:r>
      <w:r w:rsidRPr="007337C6">
        <w:rPr>
          <w:rFonts w:ascii="Trebuchet MS" w:hAnsi="Trebuchet MS"/>
          <w:sz w:val="20"/>
          <w:szCs w:val="20"/>
        </w:rPr>
        <w:t xml:space="preserve"> the B2B contracts</w:t>
      </w:r>
      <w:r w:rsidR="00FC3318" w:rsidRPr="007337C6">
        <w:rPr>
          <w:rFonts w:ascii="Trebuchet MS" w:hAnsi="Trebuchet MS"/>
          <w:sz w:val="20"/>
          <w:szCs w:val="20"/>
        </w:rPr>
        <w:t>, communication to the policyholders and their feedback to date, update in the Life Part VII</w:t>
      </w:r>
      <w:r w:rsidR="00082924">
        <w:rPr>
          <w:rFonts w:ascii="Trebuchet MS" w:hAnsi="Trebuchet MS"/>
          <w:sz w:val="20"/>
          <w:szCs w:val="20"/>
        </w:rPr>
        <w:t>.</w:t>
      </w:r>
    </w:p>
    <w:p w14:paraId="4DA98F85" w14:textId="08485C27" w:rsidR="003F382C" w:rsidRPr="007337C6" w:rsidRDefault="00E328A9" w:rsidP="00FF591C">
      <w:pPr>
        <w:rPr>
          <w:rFonts w:ascii="Trebuchet MS" w:hAnsi="Trebuchet MS"/>
          <w:sz w:val="20"/>
          <w:szCs w:val="20"/>
        </w:rPr>
      </w:pPr>
      <w:r w:rsidRPr="007337C6">
        <w:rPr>
          <w:rFonts w:ascii="Trebuchet MS" w:hAnsi="Trebuchet MS"/>
          <w:sz w:val="20"/>
          <w:szCs w:val="20"/>
        </w:rPr>
        <w:t>T</w:t>
      </w:r>
      <w:r w:rsidR="003F382C" w:rsidRPr="007337C6">
        <w:rPr>
          <w:rFonts w:ascii="Trebuchet MS" w:hAnsi="Trebuchet MS"/>
          <w:sz w:val="20"/>
          <w:szCs w:val="20"/>
        </w:rPr>
        <w:t>his report has been focused only to areas where there is new information or updates relevant to the Scheme and should be read together with the initial report.</w:t>
      </w:r>
    </w:p>
    <w:p w14:paraId="2A13B4CE" w14:textId="13F7E473" w:rsidR="002C334E" w:rsidRPr="007337C6" w:rsidRDefault="002C334E" w:rsidP="00FF591C">
      <w:pPr>
        <w:rPr>
          <w:rFonts w:ascii="Trebuchet MS" w:hAnsi="Trebuchet MS"/>
          <w:sz w:val="20"/>
          <w:szCs w:val="20"/>
        </w:rPr>
      </w:pPr>
      <w:r w:rsidRPr="007337C6">
        <w:rPr>
          <w:rFonts w:ascii="Trebuchet MS" w:hAnsi="Trebuchet MS"/>
          <w:sz w:val="20"/>
          <w:szCs w:val="20"/>
        </w:rPr>
        <w:t>The report has been written in accordance to the Technical Actuarial Standards (TAS)</w:t>
      </w:r>
      <w:r w:rsidR="003E3D9B" w:rsidRPr="007337C6">
        <w:rPr>
          <w:rFonts w:ascii="Trebuchet MS" w:hAnsi="Trebuchet MS"/>
          <w:sz w:val="20"/>
          <w:szCs w:val="20"/>
        </w:rPr>
        <w:t xml:space="preserve">, in particular, TAS 100 that applies to technical actuarial work, and also in accordance of the Actuarial Professional Standard </w:t>
      </w:r>
      <w:proofErr w:type="spellStart"/>
      <w:r w:rsidR="003E3D9B" w:rsidRPr="007337C6">
        <w:rPr>
          <w:rFonts w:ascii="Trebuchet MS" w:hAnsi="Trebuchet MS"/>
          <w:sz w:val="20"/>
          <w:szCs w:val="20"/>
        </w:rPr>
        <w:t>APX</w:t>
      </w:r>
      <w:proofErr w:type="spellEnd"/>
      <w:r w:rsidR="003E3D9B" w:rsidRPr="007337C6">
        <w:rPr>
          <w:rFonts w:ascii="Trebuchet MS" w:hAnsi="Trebuchet MS"/>
          <w:sz w:val="20"/>
          <w:szCs w:val="20"/>
        </w:rPr>
        <w:t xml:space="preserve"> 2 with regards to peer review.</w:t>
      </w:r>
    </w:p>
    <w:p w14:paraId="2803CA26" w14:textId="1E39B72A" w:rsidR="00F35C32" w:rsidRDefault="00F35C32" w:rsidP="00FF591C">
      <w:pPr>
        <w:rPr>
          <w:rFonts w:ascii="Trebuchet MS" w:hAnsi="Trebuchet MS"/>
          <w:sz w:val="20"/>
          <w:szCs w:val="20"/>
        </w:rPr>
      </w:pPr>
    </w:p>
    <w:p w14:paraId="27349529" w14:textId="77777777" w:rsidR="006D7BB8" w:rsidRPr="007337C6" w:rsidRDefault="006D7BB8" w:rsidP="00FF591C">
      <w:pPr>
        <w:rPr>
          <w:rFonts w:ascii="Trebuchet MS" w:hAnsi="Trebuchet MS"/>
          <w:sz w:val="20"/>
          <w:szCs w:val="20"/>
        </w:rPr>
      </w:pPr>
    </w:p>
    <w:p w14:paraId="7B55B635" w14:textId="393C4C18" w:rsidR="00D83E68" w:rsidRPr="007337C6" w:rsidRDefault="00B32B81" w:rsidP="00942F66">
      <w:pPr>
        <w:pStyle w:val="Heading1"/>
        <w:numPr>
          <w:ilvl w:val="0"/>
          <w:numId w:val="1"/>
        </w:numPr>
        <w:rPr>
          <w:color w:val="0070C0"/>
        </w:rPr>
      </w:pPr>
      <w:bookmarkStart w:id="3" w:name="_Toc52451866"/>
      <w:r w:rsidRPr="007337C6">
        <w:rPr>
          <w:color w:val="0070C0"/>
        </w:rPr>
        <w:t>Update in conclusions</w:t>
      </w:r>
      <w:bookmarkEnd w:id="3"/>
    </w:p>
    <w:p w14:paraId="518C7942" w14:textId="2750508E" w:rsidR="00F40D96" w:rsidRPr="007337C6" w:rsidRDefault="00F40D96" w:rsidP="003271C7">
      <w:pPr>
        <w:rPr>
          <w:rFonts w:ascii="Trebuchet MS" w:hAnsi="Trebuchet MS"/>
          <w:sz w:val="20"/>
          <w:szCs w:val="20"/>
        </w:rPr>
      </w:pPr>
    </w:p>
    <w:p w14:paraId="6FD5CB3E" w14:textId="4F4BCEA5" w:rsidR="005A06AD" w:rsidRPr="007337C6" w:rsidRDefault="00E328A9" w:rsidP="00FA0241">
      <w:pPr>
        <w:pStyle w:val="Heading1"/>
        <w:numPr>
          <w:ilvl w:val="1"/>
          <w:numId w:val="1"/>
        </w:numPr>
        <w:rPr>
          <w:color w:val="0070C0"/>
        </w:rPr>
      </w:pPr>
      <w:bookmarkStart w:id="4" w:name="_Toc52451867"/>
      <w:r w:rsidRPr="007337C6">
        <w:rPr>
          <w:color w:val="0070C0"/>
        </w:rPr>
        <w:lastRenderedPageBreak/>
        <w:t>R</w:t>
      </w:r>
      <w:r w:rsidR="00F90A32" w:rsidRPr="007337C6">
        <w:rPr>
          <w:color w:val="0070C0"/>
        </w:rPr>
        <w:t>ecent development</w:t>
      </w:r>
      <w:r w:rsidRPr="007337C6">
        <w:rPr>
          <w:color w:val="0070C0"/>
        </w:rPr>
        <w:t>s</w:t>
      </w:r>
      <w:bookmarkEnd w:id="4"/>
    </w:p>
    <w:p w14:paraId="3E50F1E8" w14:textId="430A07F4" w:rsidR="003271C7" w:rsidRPr="007337C6" w:rsidRDefault="000D64ED" w:rsidP="00231A3C">
      <w:pPr>
        <w:rPr>
          <w:rFonts w:ascii="Trebuchet MS" w:hAnsi="Trebuchet MS"/>
          <w:sz w:val="20"/>
          <w:szCs w:val="20"/>
        </w:rPr>
      </w:pPr>
      <w:r w:rsidRPr="007337C6">
        <w:rPr>
          <w:rFonts w:ascii="Trebuchet MS" w:hAnsi="Trebuchet MS"/>
          <w:sz w:val="20"/>
          <w:szCs w:val="20"/>
        </w:rPr>
        <w:t>T</w:t>
      </w:r>
      <w:r w:rsidR="00092BA2" w:rsidRPr="007337C6">
        <w:rPr>
          <w:rFonts w:ascii="Trebuchet MS" w:hAnsi="Trebuchet MS"/>
          <w:sz w:val="20"/>
          <w:szCs w:val="20"/>
        </w:rPr>
        <w:t xml:space="preserve">he </w:t>
      </w:r>
      <w:r w:rsidR="00F90A32" w:rsidRPr="007337C6">
        <w:rPr>
          <w:rFonts w:ascii="Trebuchet MS" w:hAnsi="Trebuchet MS"/>
          <w:sz w:val="20"/>
          <w:szCs w:val="20"/>
        </w:rPr>
        <w:t>following development</w:t>
      </w:r>
      <w:r w:rsidR="00082924">
        <w:rPr>
          <w:rFonts w:ascii="Trebuchet MS" w:hAnsi="Trebuchet MS"/>
          <w:sz w:val="20"/>
          <w:szCs w:val="20"/>
        </w:rPr>
        <w:t>s</w:t>
      </w:r>
      <w:r w:rsidR="00F90A32" w:rsidRPr="007337C6">
        <w:rPr>
          <w:rFonts w:ascii="Trebuchet MS" w:hAnsi="Trebuchet MS"/>
          <w:sz w:val="20"/>
          <w:szCs w:val="20"/>
        </w:rPr>
        <w:t xml:space="preserve"> occurred within the business since </w:t>
      </w:r>
      <w:r w:rsidR="00082924">
        <w:rPr>
          <w:rFonts w:ascii="Trebuchet MS" w:hAnsi="Trebuchet MS"/>
          <w:sz w:val="20"/>
          <w:szCs w:val="20"/>
        </w:rPr>
        <w:t xml:space="preserve">the </w:t>
      </w:r>
      <w:r w:rsidR="00F90A32" w:rsidRPr="007337C6">
        <w:rPr>
          <w:rFonts w:ascii="Trebuchet MS" w:hAnsi="Trebuchet MS"/>
          <w:sz w:val="20"/>
          <w:szCs w:val="20"/>
        </w:rPr>
        <w:t xml:space="preserve">end </w:t>
      </w:r>
      <w:r w:rsidR="00142DE3" w:rsidRPr="007337C6">
        <w:rPr>
          <w:rFonts w:ascii="Trebuchet MS" w:hAnsi="Trebuchet MS"/>
          <w:sz w:val="20"/>
          <w:szCs w:val="20"/>
        </w:rPr>
        <w:t xml:space="preserve">of </w:t>
      </w:r>
      <w:r w:rsidR="00F90A32" w:rsidRPr="007337C6">
        <w:rPr>
          <w:rFonts w:ascii="Trebuchet MS" w:hAnsi="Trebuchet MS"/>
          <w:sz w:val="20"/>
          <w:szCs w:val="20"/>
        </w:rPr>
        <w:t>June 2020</w:t>
      </w:r>
      <w:r w:rsidR="008D0453" w:rsidRPr="007337C6">
        <w:rPr>
          <w:rFonts w:ascii="Trebuchet MS" w:hAnsi="Trebuchet MS"/>
          <w:sz w:val="20"/>
          <w:szCs w:val="20"/>
        </w:rPr>
        <w:t>:</w:t>
      </w:r>
    </w:p>
    <w:p w14:paraId="67B375F4" w14:textId="73A07729" w:rsidR="00092BA2" w:rsidRPr="007337C6" w:rsidRDefault="00F90A32" w:rsidP="00942F66">
      <w:pPr>
        <w:pStyle w:val="ListParagraph"/>
        <w:numPr>
          <w:ilvl w:val="0"/>
          <w:numId w:val="9"/>
        </w:numPr>
        <w:rPr>
          <w:rFonts w:ascii="Trebuchet MS" w:hAnsi="Trebuchet MS"/>
          <w:sz w:val="20"/>
          <w:szCs w:val="20"/>
        </w:rPr>
      </w:pPr>
      <w:r w:rsidRPr="007337C6">
        <w:rPr>
          <w:rFonts w:ascii="Trebuchet MS" w:hAnsi="Trebuchet MS"/>
          <w:sz w:val="20"/>
          <w:szCs w:val="20"/>
        </w:rPr>
        <w:t xml:space="preserve">AEI </w:t>
      </w:r>
      <w:r w:rsidR="00F722E7" w:rsidRPr="007337C6">
        <w:rPr>
          <w:rFonts w:ascii="Trebuchet MS" w:hAnsi="Trebuchet MS"/>
          <w:sz w:val="20"/>
          <w:szCs w:val="20"/>
        </w:rPr>
        <w:t xml:space="preserve">has commenced </w:t>
      </w:r>
      <w:r w:rsidRPr="007337C6">
        <w:rPr>
          <w:rFonts w:ascii="Trebuchet MS" w:hAnsi="Trebuchet MS"/>
          <w:sz w:val="20"/>
          <w:szCs w:val="20"/>
        </w:rPr>
        <w:t>writing new business</w:t>
      </w:r>
      <w:r w:rsidR="00082924">
        <w:rPr>
          <w:rFonts w:ascii="Trebuchet MS" w:hAnsi="Trebuchet MS"/>
          <w:sz w:val="20"/>
          <w:szCs w:val="20"/>
        </w:rPr>
        <w:t xml:space="preserve"> from July and</w:t>
      </w:r>
      <w:r w:rsidR="0020138F" w:rsidRPr="007337C6">
        <w:rPr>
          <w:rFonts w:ascii="Trebuchet MS" w:hAnsi="Trebuchet MS"/>
          <w:sz w:val="20"/>
          <w:szCs w:val="20"/>
        </w:rPr>
        <w:t xml:space="preserve">, there </w:t>
      </w:r>
      <w:r w:rsidR="00F35C32" w:rsidRPr="007337C6">
        <w:rPr>
          <w:rFonts w:ascii="Trebuchet MS" w:hAnsi="Trebuchet MS"/>
          <w:sz w:val="20"/>
          <w:szCs w:val="20"/>
        </w:rPr>
        <w:t xml:space="preserve">is </w:t>
      </w:r>
      <w:r w:rsidR="0020138F" w:rsidRPr="007337C6">
        <w:rPr>
          <w:rFonts w:ascii="Trebuchet MS" w:hAnsi="Trebuchet MS"/>
          <w:sz w:val="20"/>
          <w:szCs w:val="20"/>
        </w:rPr>
        <w:t>some pipeline business underway</w:t>
      </w:r>
      <w:r w:rsidRPr="007337C6">
        <w:rPr>
          <w:rFonts w:ascii="Trebuchet MS" w:hAnsi="Trebuchet MS"/>
          <w:sz w:val="20"/>
          <w:szCs w:val="20"/>
        </w:rPr>
        <w:t xml:space="preserve"> </w:t>
      </w:r>
    </w:p>
    <w:p w14:paraId="5D9DB065" w14:textId="72C2A9C6" w:rsidR="00F90A32" w:rsidRPr="007337C6" w:rsidRDefault="00053BF7" w:rsidP="00942F66">
      <w:pPr>
        <w:pStyle w:val="ListParagraph"/>
        <w:numPr>
          <w:ilvl w:val="0"/>
          <w:numId w:val="9"/>
        </w:numPr>
        <w:rPr>
          <w:rFonts w:ascii="Trebuchet MS" w:hAnsi="Trebuchet MS"/>
          <w:sz w:val="20"/>
          <w:szCs w:val="20"/>
        </w:rPr>
      </w:pPr>
      <w:r w:rsidRPr="007337C6">
        <w:rPr>
          <w:rFonts w:ascii="Trebuchet MS" w:hAnsi="Trebuchet MS"/>
          <w:sz w:val="20"/>
          <w:szCs w:val="20"/>
        </w:rPr>
        <w:t xml:space="preserve">A contract with a Spanish financial institution to provide mobile phone insurance to their customers in </w:t>
      </w:r>
      <w:r w:rsidR="00766A80" w:rsidRPr="007337C6">
        <w:rPr>
          <w:rFonts w:ascii="Trebuchet MS" w:hAnsi="Trebuchet MS"/>
          <w:sz w:val="20"/>
          <w:szCs w:val="20"/>
        </w:rPr>
        <w:t xml:space="preserve">their added value accounts </w:t>
      </w:r>
      <w:r w:rsidRPr="007337C6">
        <w:rPr>
          <w:rFonts w:ascii="Trebuchet MS" w:hAnsi="Trebuchet MS"/>
          <w:sz w:val="20"/>
          <w:szCs w:val="20"/>
        </w:rPr>
        <w:t>benefits package</w:t>
      </w:r>
      <w:r w:rsidR="000452F0" w:rsidRPr="007337C6">
        <w:rPr>
          <w:rFonts w:ascii="Trebuchet MS" w:hAnsi="Trebuchet MS"/>
          <w:sz w:val="20"/>
          <w:szCs w:val="20"/>
        </w:rPr>
        <w:t xml:space="preserve"> has been renewed</w:t>
      </w:r>
      <w:r w:rsidR="00F35C32" w:rsidRPr="007337C6">
        <w:rPr>
          <w:rFonts w:ascii="Trebuchet MS" w:hAnsi="Trebuchet MS"/>
          <w:sz w:val="20"/>
          <w:szCs w:val="20"/>
        </w:rPr>
        <w:t xml:space="preserve"> using AEI as </w:t>
      </w:r>
      <w:r w:rsidR="00142DE3" w:rsidRPr="007337C6">
        <w:rPr>
          <w:rFonts w:ascii="Trebuchet MS" w:hAnsi="Trebuchet MS"/>
          <w:sz w:val="20"/>
          <w:szCs w:val="20"/>
        </w:rPr>
        <w:t>underwriter</w:t>
      </w:r>
    </w:p>
    <w:p w14:paraId="0FB17FDA" w14:textId="0779E1E3" w:rsidR="00F90A32" w:rsidRPr="007337C6" w:rsidRDefault="00053BF7" w:rsidP="00942F66">
      <w:pPr>
        <w:pStyle w:val="ListParagraph"/>
        <w:numPr>
          <w:ilvl w:val="0"/>
          <w:numId w:val="9"/>
        </w:numPr>
        <w:rPr>
          <w:rFonts w:ascii="Trebuchet MS" w:hAnsi="Trebuchet MS"/>
          <w:sz w:val="20"/>
          <w:szCs w:val="20"/>
        </w:rPr>
      </w:pPr>
      <w:r w:rsidRPr="007337C6">
        <w:rPr>
          <w:rFonts w:ascii="Trebuchet MS" w:hAnsi="Trebuchet MS"/>
          <w:sz w:val="20"/>
          <w:szCs w:val="20"/>
        </w:rPr>
        <w:t>An online insurance service to a major mobile phone provider</w:t>
      </w:r>
      <w:r w:rsidR="000452F0" w:rsidRPr="007337C6">
        <w:rPr>
          <w:rFonts w:ascii="Trebuchet MS" w:hAnsi="Trebuchet MS"/>
          <w:sz w:val="20"/>
          <w:szCs w:val="20"/>
        </w:rPr>
        <w:t xml:space="preserve"> </w:t>
      </w:r>
      <w:r w:rsidR="00E328A9" w:rsidRPr="007337C6">
        <w:rPr>
          <w:rFonts w:ascii="Trebuchet MS" w:hAnsi="Trebuchet MS"/>
          <w:sz w:val="20"/>
          <w:szCs w:val="20"/>
        </w:rPr>
        <w:t xml:space="preserve">and underwritten by AEI </w:t>
      </w:r>
      <w:r w:rsidRPr="007337C6">
        <w:rPr>
          <w:rFonts w:ascii="Trebuchet MS" w:hAnsi="Trebuchet MS"/>
          <w:sz w:val="20"/>
          <w:szCs w:val="20"/>
        </w:rPr>
        <w:t xml:space="preserve">has been </w:t>
      </w:r>
      <w:r w:rsidR="000452F0" w:rsidRPr="007337C6">
        <w:rPr>
          <w:rFonts w:ascii="Trebuchet MS" w:hAnsi="Trebuchet MS"/>
          <w:sz w:val="20"/>
          <w:szCs w:val="20"/>
        </w:rPr>
        <w:t>launched</w:t>
      </w:r>
      <w:r w:rsidRPr="007337C6">
        <w:rPr>
          <w:rFonts w:ascii="Trebuchet MS" w:hAnsi="Trebuchet MS"/>
          <w:sz w:val="20"/>
          <w:szCs w:val="20"/>
        </w:rPr>
        <w:t xml:space="preserve"> in Europe</w:t>
      </w:r>
    </w:p>
    <w:p w14:paraId="545B7512" w14:textId="6F7AD3D2" w:rsidR="00F90A32" w:rsidRPr="007337C6" w:rsidRDefault="00053BF7" w:rsidP="00942F66">
      <w:pPr>
        <w:pStyle w:val="ListParagraph"/>
        <w:numPr>
          <w:ilvl w:val="0"/>
          <w:numId w:val="9"/>
        </w:numPr>
        <w:rPr>
          <w:rFonts w:ascii="Trebuchet MS" w:hAnsi="Trebuchet MS"/>
          <w:sz w:val="20"/>
          <w:szCs w:val="20"/>
        </w:rPr>
      </w:pPr>
      <w:r w:rsidRPr="007337C6">
        <w:rPr>
          <w:rFonts w:ascii="Trebuchet MS" w:hAnsi="Trebuchet MS"/>
          <w:sz w:val="20"/>
          <w:szCs w:val="20"/>
        </w:rPr>
        <w:t>Contracts with a major mobile phone provider in</w:t>
      </w:r>
      <w:r w:rsidR="000452F0" w:rsidRPr="007337C6">
        <w:rPr>
          <w:rFonts w:ascii="Trebuchet MS" w:hAnsi="Trebuchet MS"/>
          <w:sz w:val="20"/>
          <w:szCs w:val="20"/>
        </w:rPr>
        <w:t xml:space="preserve"> Romania</w:t>
      </w:r>
      <w:r w:rsidR="00082924">
        <w:rPr>
          <w:rFonts w:ascii="Trebuchet MS" w:hAnsi="Trebuchet MS"/>
          <w:sz w:val="20"/>
          <w:szCs w:val="20"/>
        </w:rPr>
        <w:t xml:space="preserve"> are live and written by AEI, with a scheme in the Czech Republic expected in October-November</w:t>
      </w:r>
    </w:p>
    <w:p w14:paraId="781F8C96" w14:textId="186093CA" w:rsidR="000452F0" w:rsidRPr="007337C6" w:rsidRDefault="00053BF7" w:rsidP="00942F66">
      <w:pPr>
        <w:pStyle w:val="ListParagraph"/>
        <w:numPr>
          <w:ilvl w:val="0"/>
          <w:numId w:val="9"/>
        </w:numPr>
        <w:rPr>
          <w:rFonts w:ascii="Trebuchet MS" w:hAnsi="Trebuchet MS"/>
          <w:sz w:val="20"/>
          <w:szCs w:val="20"/>
        </w:rPr>
      </w:pPr>
      <w:r w:rsidRPr="007337C6">
        <w:rPr>
          <w:rFonts w:ascii="Trebuchet MS" w:hAnsi="Trebuchet MS"/>
          <w:sz w:val="20"/>
          <w:szCs w:val="20"/>
        </w:rPr>
        <w:t xml:space="preserve">Intragroup </w:t>
      </w:r>
      <w:r w:rsidR="000452F0" w:rsidRPr="007337C6">
        <w:rPr>
          <w:rFonts w:ascii="Trebuchet MS" w:hAnsi="Trebuchet MS"/>
          <w:sz w:val="20"/>
          <w:szCs w:val="20"/>
        </w:rPr>
        <w:t xml:space="preserve">Quota Share reinsurance cover to LGI </w:t>
      </w:r>
      <w:r w:rsidR="00E328A9" w:rsidRPr="007337C6">
        <w:rPr>
          <w:rFonts w:ascii="Trebuchet MS" w:hAnsi="Trebuchet MS"/>
          <w:sz w:val="20"/>
          <w:szCs w:val="20"/>
        </w:rPr>
        <w:t xml:space="preserve">has been </w:t>
      </w:r>
      <w:r w:rsidR="000452F0" w:rsidRPr="007337C6">
        <w:rPr>
          <w:rFonts w:ascii="Trebuchet MS" w:hAnsi="Trebuchet MS"/>
          <w:sz w:val="20"/>
          <w:szCs w:val="20"/>
        </w:rPr>
        <w:t>recaptured for the European portfolio</w:t>
      </w:r>
      <w:r w:rsidR="002A0DCF">
        <w:rPr>
          <w:rFonts w:ascii="Trebuchet MS" w:hAnsi="Trebuchet MS"/>
          <w:sz w:val="20"/>
          <w:szCs w:val="20"/>
        </w:rPr>
        <w:t xml:space="preserve"> during July 2020</w:t>
      </w:r>
    </w:p>
    <w:p w14:paraId="0515B65B" w14:textId="0D992525" w:rsidR="00F90A32" w:rsidRPr="007337C6" w:rsidRDefault="000452F0" w:rsidP="000452F0">
      <w:pPr>
        <w:rPr>
          <w:rFonts w:ascii="Trebuchet MS" w:hAnsi="Trebuchet MS"/>
          <w:sz w:val="20"/>
          <w:szCs w:val="20"/>
        </w:rPr>
      </w:pPr>
      <w:r w:rsidRPr="007337C6">
        <w:rPr>
          <w:rFonts w:ascii="Trebuchet MS" w:hAnsi="Trebuchet MS"/>
          <w:sz w:val="20"/>
          <w:szCs w:val="20"/>
        </w:rPr>
        <w:t xml:space="preserve">More details on these business developments </w:t>
      </w:r>
      <w:proofErr w:type="gramStart"/>
      <w:r w:rsidRPr="007337C6">
        <w:rPr>
          <w:rFonts w:ascii="Trebuchet MS" w:hAnsi="Trebuchet MS"/>
          <w:sz w:val="20"/>
          <w:szCs w:val="20"/>
        </w:rPr>
        <w:t>is</w:t>
      </w:r>
      <w:proofErr w:type="gramEnd"/>
      <w:r w:rsidRPr="007337C6">
        <w:rPr>
          <w:rFonts w:ascii="Trebuchet MS" w:hAnsi="Trebuchet MS"/>
          <w:sz w:val="20"/>
          <w:szCs w:val="20"/>
        </w:rPr>
        <w:t xml:space="preserve"> provided in section 3 below.</w:t>
      </w:r>
    </w:p>
    <w:p w14:paraId="71AD5162" w14:textId="55FCDD4D" w:rsidR="005A06AD" w:rsidRPr="007337C6" w:rsidRDefault="00987116" w:rsidP="00FA0241">
      <w:pPr>
        <w:pStyle w:val="Heading1"/>
        <w:numPr>
          <w:ilvl w:val="1"/>
          <w:numId w:val="1"/>
        </w:numPr>
        <w:rPr>
          <w:color w:val="0070C0"/>
        </w:rPr>
      </w:pPr>
      <w:bookmarkStart w:id="5" w:name="_Toc52451868"/>
      <w:r w:rsidRPr="007337C6">
        <w:rPr>
          <w:color w:val="0070C0"/>
        </w:rPr>
        <w:t>Conclusions</w:t>
      </w:r>
      <w:bookmarkEnd w:id="5"/>
    </w:p>
    <w:p w14:paraId="0A647E6A" w14:textId="33097C15" w:rsidR="001B4EF7" w:rsidRPr="007337C6" w:rsidRDefault="001B4EF7" w:rsidP="001B4EF7">
      <w:pPr>
        <w:rPr>
          <w:rFonts w:ascii="Trebuchet MS" w:hAnsi="Trebuchet MS"/>
          <w:sz w:val="20"/>
          <w:szCs w:val="20"/>
        </w:rPr>
      </w:pPr>
      <w:r w:rsidRPr="007337C6">
        <w:rPr>
          <w:rFonts w:ascii="Trebuchet MS" w:hAnsi="Trebuchet MS"/>
          <w:sz w:val="20"/>
          <w:szCs w:val="20"/>
        </w:rPr>
        <w:t xml:space="preserve">The conclusions in this </w:t>
      </w:r>
      <w:r w:rsidR="000A137D" w:rsidRPr="007337C6">
        <w:rPr>
          <w:rFonts w:ascii="Trebuchet MS" w:hAnsi="Trebuchet MS"/>
          <w:sz w:val="20"/>
          <w:szCs w:val="20"/>
        </w:rPr>
        <w:t xml:space="preserve">supplementary report </w:t>
      </w:r>
      <w:r w:rsidR="00F35C32" w:rsidRPr="007337C6">
        <w:rPr>
          <w:rFonts w:ascii="Trebuchet MS" w:hAnsi="Trebuchet MS"/>
          <w:sz w:val="20"/>
          <w:szCs w:val="20"/>
        </w:rPr>
        <w:t xml:space="preserve">support </w:t>
      </w:r>
      <w:r w:rsidR="000A137D" w:rsidRPr="007337C6">
        <w:rPr>
          <w:rFonts w:ascii="Trebuchet MS" w:hAnsi="Trebuchet MS"/>
          <w:sz w:val="20"/>
          <w:szCs w:val="20"/>
        </w:rPr>
        <w:t xml:space="preserve">the conclusions in the initial </w:t>
      </w:r>
      <w:r w:rsidRPr="007337C6">
        <w:rPr>
          <w:rFonts w:ascii="Trebuchet MS" w:hAnsi="Trebuchet MS"/>
          <w:sz w:val="20"/>
          <w:szCs w:val="20"/>
        </w:rPr>
        <w:t>report</w:t>
      </w:r>
      <w:r w:rsidR="00F35C32" w:rsidRPr="007337C6">
        <w:rPr>
          <w:rFonts w:ascii="Trebuchet MS" w:hAnsi="Trebuchet MS"/>
          <w:sz w:val="20"/>
          <w:szCs w:val="20"/>
        </w:rPr>
        <w:t xml:space="preserve"> that</w:t>
      </w:r>
      <w:r w:rsidR="000A137D" w:rsidRPr="007337C6">
        <w:rPr>
          <w:rFonts w:ascii="Trebuchet MS" w:hAnsi="Trebuchet MS"/>
          <w:sz w:val="20"/>
          <w:szCs w:val="20"/>
        </w:rPr>
        <w:t xml:space="preserve">, the financial strength of the companies involved in the Transfer is sound pre and post </w:t>
      </w:r>
      <w:r w:rsidR="00082924">
        <w:rPr>
          <w:rFonts w:ascii="Trebuchet MS" w:hAnsi="Trebuchet MS"/>
          <w:sz w:val="20"/>
          <w:szCs w:val="20"/>
        </w:rPr>
        <w:t>T</w:t>
      </w:r>
      <w:r w:rsidR="000A137D" w:rsidRPr="007337C6">
        <w:rPr>
          <w:rFonts w:ascii="Trebuchet MS" w:hAnsi="Trebuchet MS"/>
          <w:sz w:val="20"/>
          <w:szCs w:val="20"/>
        </w:rPr>
        <w:t>ransfer.</w:t>
      </w:r>
      <w:r w:rsidRPr="007337C6">
        <w:rPr>
          <w:rFonts w:ascii="Trebuchet MS" w:hAnsi="Trebuchet MS"/>
          <w:sz w:val="20"/>
          <w:szCs w:val="20"/>
        </w:rPr>
        <w:t xml:space="preserve"> The detailed explanation behind these conclusions follows in the body of this report</w:t>
      </w:r>
      <w:r w:rsidR="000A137D" w:rsidRPr="007337C6">
        <w:rPr>
          <w:rFonts w:ascii="Trebuchet MS" w:hAnsi="Trebuchet MS"/>
          <w:sz w:val="20"/>
          <w:szCs w:val="20"/>
        </w:rPr>
        <w:t xml:space="preserve"> and more details are available in the initial report</w:t>
      </w:r>
      <w:r w:rsidRPr="007337C6">
        <w:rPr>
          <w:rFonts w:ascii="Trebuchet MS" w:hAnsi="Trebuchet MS"/>
          <w:sz w:val="20"/>
          <w:szCs w:val="20"/>
        </w:rPr>
        <w:t>.</w:t>
      </w:r>
    </w:p>
    <w:p w14:paraId="0C4F7EDD" w14:textId="4333153F" w:rsidR="001B4EF7" w:rsidRPr="007337C6" w:rsidRDefault="001B4EF7" w:rsidP="001B4EF7">
      <w:pPr>
        <w:rPr>
          <w:rFonts w:ascii="Trebuchet MS" w:hAnsi="Trebuchet MS"/>
          <w:sz w:val="20"/>
          <w:szCs w:val="20"/>
          <w:highlight w:val="green"/>
        </w:rPr>
      </w:pPr>
      <w:r w:rsidRPr="007337C6">
        <w:rPr>
          <w:rFonts w:ascii="Trebuchet MS" w:hAnsi="Trebuchet MS"/>
          <w:sz w:val="20"/>
          <w:szCs w:val="20"/>
        </w:rPr>
        <w:t xml:space="preserve">The financial strength of the companies involved in </w:t>
      </w:r>
      <w:r w:rsidR="00C407B1" w:rsidRPr="007337C6">
        <w:rPr>
          <w:rFonts w:ascii="Trebuchet MS" w:hAnsi="Trebuchet MS"/>
          <w:sz w:val="20"/>
          <w:szCs w:val="20"/>
        </w:rPr>
        <w:t>the Transfer</w:t>
      </w:r>
      <w:r w:rsidRPr="007337C6">
        <w:rPr>
          <w:rFonts w:ascii="Trebuchet MS" w:hAnsi="Trebuchet MS"/>
          <w:sz w:val="20"/>
          <w:szCs w:val="20"/>
        </w:rPr>
        <w:t xml:space="preserve"> measured in terms of ratio of Solvency II Own Funds (OF) to Solvency Capital Requirement (SCR), the SCR coverage ratio (SCR%), pre</w:t>
      </w:r>
      <w:r w:rsidR="007843DD" w:rsidRPr="007337C6">
        <w:rPr>
          <w:rFonts w:ascii="Trebuchet MS" w:hAnsi="Trebuchet MS"/>
          <w:sz w:val="20"/>
          <w:szCs w:val="20"/>
        </w:rPr>
        <w:t>-</w:t>
      </w:r>
      <w:r w:rsidRPr="007337C6">
        <w:rPr>
          <w:rFonts w:ascii="Trebuchet MS" w:hAnsi="Trebuchet MS"/>
          <w:sz w:val="20"/>
          <w:szCs w:val="20"/>
        </w:rPr>
        <w:t xml:space="preserve"> and post-Transfer is presented in the table below</w:t>
      </w:r>
      <w:r w:rsidR="000A137D" w:rsidRPr="007337C6">
        <w:rPr>
          <w:rFonts w:ascii="Trebuchet MS" w:hAnsi="Trebuchet MS"/>
          <w:sz w:val="20"/>
          <w:szCs w:val="20"/>
        </w:rPr>
        <w:t>.</w:t>
      </w:r>
      <w:r w:rsidRPr="007337C6">
        <w:rPr>
          <w:rFonts w:ascii="Trebuchet MS" w:hAnsi="Trebuchet MS"/>
          <w:sz w:val="20"/>
          <w:szCs w:val="20"/>
          <w:highlight w:val="green"/>
        </w:rPr>
        <w:t xml:space="preserve">  </w:t>
      </w:r>
    </w:p>
    <w:tbl>
      <w:tblPr>
        <w:tblW w:w="10455" w:type="dxa"/>
        <w:tblLook w:val="04A0" w:firstRow="1" w:lastRow="0" w:firstColumn="1" w:lastColumn="0" w:noHBand="0" w:noVBand="1"/>
      </w:tblPr>
      <w:tblGrid>
        <w:gridCol w:w="2150"/>
        <w:gridCol w:w="706"/>
        <w:gridCol w:w="706"/>
        <w:gridCol w:w="708"/>
        <w:gridCol w:w="706"/>
        <w:gridCol w:w="706"/>
        <w:gridCol w:w="709"/>
        <w:gridCol w:w="677"/>
        <w:gridCol w:w="677"/>
        <w:gridCol w:w="678"/>
        <w:gridCol w:w="677"/>
        <w:gridCol w:w="677"/>
        <w:gridCol w:w="678"/>
      </w:tblGrid>
      <w:tr w:rsidR="00EF722F" w:rsidRPr="00EF722F" w14:paraId="79E4F441" w14:textId="77777777" w:rsidTr="00ED58A9">
        <w:trPr>
          <w:trHeight w:val="218"/>
        </w:trPr>
        <w:tc>
          <w:tcPr>
            <w:tcW w:w="2150" w:type="dxa"/>
            <w:tcBorders>
              <w:top w:val="nil"/>
              <w:left w:val="nil"/>
              <w:bottom w:val="nil"/>
              <w:right w:val="nil"/>
            </w:tcBorders>
            <w:shd w:val="clear" w:color="auto" w:fill="auto"/>
            <w:noWrap/>
            <w:vAlign w:val="bottom"/>
            <w:hideMark/>
          </w:tcPr>
          <w:p w14:paraId="35042C33" w14:textId="77777777" w:rsidR="00EF722F" w:rsidRPr="00ED58A9" w:rsidRDefault="00EF722F" w:rsidP="00EF722F">
            <w:pPr>
              <w:spacing w:after="0" w:line="240" w:lineRule="auto"/>
              <w:rPr>
                <w:rFonts w:ascii="Trebuchet MS" w:eastAsia="Times New Roman" w:hAnsi="Trebuchet MS" w:cs="Times New Roman"/>
                <w:sz w:val="16"/>
                <w:szCs w:val="16"/>
                <w:lang w:eastAsia="en-GB"/>
              </w:rPr>
            </w:pPr>
          </w:p>
        </w:tc>
        <w:tc>
          <w:tcPr>
            <w:tcW w:w="4241"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C206BAD" w14:textId="77777777" w:rsidR="00EF722F" w:rsidRPr="00ED58A9" w:rsidRDefault="00EF722F" w:rsidP="00EF722F">
            <w:pPr>
              <w:spacing w:after="0" w:line="240" w:lineRule="auto"/>
              <w:jc w:val="center"/>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Initial report (as at 16/06/2020)</w:t>
            </w:r>
          </w:p>
        </w:tc>
        <w:tc>
          <w:tcPr>
            <w:tcW w:w="4064" w:type="dxa"/>
            <w:gridSpan w:val="6"/>
            <w:tcBorders>
              <w:top w:val="single" w:sz="8" w:space="0" w:color="auto"/>
              <w:left w:val="nil"/>
              <w:bottom w:val="single" w:sz="8" w:space="0" w:color="auto"/>
              <w:right w:val="single" w:sz="8" w:space="0" w:color="000000"/>
            </w:tcBorders>
            <w:shd w:val="clear" w:color="auto" w:fill="auto"/>
            <w:noWrap/>
            <w:vAlign w:val="bottom"/>
            <w:hideMark/>
          </w:tcPr>
          <w:p w14:paraId="02CFD32C" w14:textId="251BDE93" w:rsidR="00EF722F" w:rsidRPr="00ED58A9" w:rsidRDefault="00EF722F" w:rsidP="00EF722F">
            <w:pPr>
              <w:spacing w:after="0" w:line="240" w:lineRule="auto"/>
              <w:jc w:val="center"/>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 xml:space="preserve">Supplementary report (as at </w:t>
            </w:r>
            <w:r>
              <w:rPr>
                <w:rFonts w:ascii="Trebuchet MS" w:eastAsia="Times New Roman" w:hAnsi="Trebuchet MS" w:cs="Calibri"/>
                <w:color w:val="000000"/>
                <w:sz w:val="16"/>
                <w:szCs w:val="16"/>
                <w:lang w:eastAsia="en-GB"/>
              </w:rPr>
              <w:t>09</w:t>
            </w:r>
            <w:r w:rsidRPr="00ED58A9">
              <w:rPr>
                <w:rFonts w:ascii="Trebuchet MS" w:eastAsia="Times New Roman" w:hAnsi="Trebuchet MS" w:cs="Calibri"/>
                <w:color w:val="000000"/>
                <w:sz w:val="16"/>
                <w:szCs w:val="16"/>
                <w:lang w:eastAsia="en-GB"/>
              </w:rPr>
              <w:t>/09/2020)</w:t>
            </w:r>
          </w:p>
        </w:tc>
      </w:tr>
      <w:tr w:rsidR="007B1F50" w:rsidRPr="00EF722F" w14:paraId="466970CA" w14:textId="77777777" w:rsidTr="00F74BDC">
        <w:trPr>
          <w:trHeight w:val="218"/>
        </w:trPr>
        <w:tc>
          <w:tcPr>
            <w:tcW w:w="2150" w:type="dxa"/>
            <w:tcBorders>
              <w:top w:val="nil"/>
              <w:left w:val="nil"/>
              <w:bottom w:val="nil"/>
              <w:right w:val="nil"/>
            </w:tcBorders>
            <w:shd w:val="clear" w:color="auto" w:fill="auto"/>
            <w:noWrap/>
            <w:vAlign w:val="bottom"/>
            <w:hideMark/>
          </w:tcPr>
          <w:p w14:paraId="5F7B6770" w14:textId="77777777" w:rsidR="00EF722F" w:rsidRPr="00ED58A9" w:rsidRDefault="00EF722F" w:rsidP="00EF722F">
            <w:pPr>
              <w:spacing w:after="0" w:line="240" w:lineRule="auto"/>
              <w:jc w:val="center"/>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 (m)</w:t>
            </w:r>
          </w:p>
        </w:tc>
        <w:tc>
          <w:tcPr>
            <w:tcW w:w="706" w:type="dxa"/>
            <w:tcBorders>
              <w:top w:val="nil"/>
              <w:left w:val="single" w:sz="8" w:space="0" w:color="auto"/>
              <w:bottom w:val="nil"/>
              <w:right w:val="nil"/>
            </w:tcBorders>
            <w:shd w:val="clear" w:color="000000" w:fill="D9D9D9"/>
            <w:noWrap/>
            <w:vAlign w:val="center"/>
            <w:hideMark/>
          </w:tcPr>
          <w:p w14:paraId="1C3C0DFB"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AGIL</w:t>
            </w:r>
          </w:p>
        </w:tc>
        <w:tc>
          <w:tcPr>
            <w:tcW w:w="706" w:type="dxa"/>
            <w:tcBorders>
              <w:top w:val="nil"/>
              <w:left w:val="nil"/>
              <w:bottom w:val="nil"/>
              <w:right w:val="nil"/>
            </w:tcBorders>
            <w:shd w:val="clear" w:color="000000" w:fill="D9D9D9"/>
            <w:noWrap/>
            <w:vAlign w:val="center"/>
            <w:hideMark/>
          </w:tcPr>
          <w:p w14:paraId="46F104F0"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LGI</w:t>
            </w:r>
          </w:p>
        </w:tc>
        <w:tc>
          <w:tcPr>
            <w:tcW w:w="708" w:type="dxa"/>
            <w:tcBorders>
              <w:top w:val="nil"/>
              <w:left w:val="nil"/>
              <w:bottom w:val="nil"/>
              <w:right w:val="single" w:sz="8" w:space="0" w:color="auto"/>
            </w:tcBorders>
            <w:shd w:val="clear" w:color="000000" w:fill="D9D9D9"/>
            <w:noWrap/>
            <w:vAlign w:val="center"/>
            <w:hideMark/>
          </w:tcPr>
          <w:p w14:paraId="27575237"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AEI</w:t>
            </w:r>
          </w:p>
        </w:tc>
        <w:tc>
          <w:tcPr>
            <w:tcW w:w="706" w:type="dxa"/>
            <w:tcBorders>
              <w:top w:val="nil"/>
              <w:left w:val="nil"/>
              <w:bottom w:val="nil"/>
              <w:right w:val="nil"/>
            </w:tcBorders>
            <w:shd w:val="clear" w:color="000000" w:fill="D9D9D9"/>
            <w:noWrap/>
            <w:vAlign w:val="center"/>
            <w:hideMark/>
          </w:tcPr>
          <w:p w14:paraId="5BF9D874"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AGIL</w:t>
            </w:r>
          </w:p>
        </w:tc>
        <w:tc>
          <w:tcPr>
            <w:tcW w:w="706" w:type="dxa"/>
            <w:tcBorders>
              <w:top w:val="nil"/>
              <w:left w:val="nil"/>
              <w:bottom w:val="nil"/>
              <w:right w:val="nil"/>
            </w:tcBorders>
            <w:shd w:val="clear" w:color="000000" w:fill="D9D9D9"/>
            <w:noWrap/>
            <w:vAlign w:val="center"/>
            <w:hideMark/>
          </w:tcPr>
          <w:p w14:paraId="1AF1B721"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LGI</w:t>
            </w:r>
          </w:p>
        </w:tc>
        <w:tc>
          <w:tcPr>
            <w:tcW w:w="709" w:type="dxa"/>
            <w:tcBorders>
              <w:top w:val="nil"/>
              <w:left w:val="nil"/>
              <w:bottom w:val="nil"/>
              <w:right w:val="single" w:sz="8" w:space="0" w:color="auto"/>
            </w:tcBorders>
            <w:shd w:val="clear" w:color="000000" w:fill="D9D9D9"/>
            <w:noWrap/>
            <w:vAlign w:val="center"/>
            <w:hideMark/>
          </w:tcPr>
          <w:p w14:paraId="460B306C"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AEI</w:t>
            </w:r>
          </w:p>
        </w:tc>
        <w:tc>
          <w:tcPr>
            <w:tcW w:w="677" w:type="dxa"/>
            <w:tcBorders>
              <w:top w:val="nil"/>
              <w:left w:val="nil"/>
              <w:bottom w:val="nil"/>
              <w:right w:val="nil"/>
            </w:tcBorders>
            <w:shd w:val="clear" w:color="000000" w:fill="D9D9D9"/>
            <w:noWrap/>
            <w:vAlign w:val="center"/>
            <w:hideMark/>
          </w:tcPr>
          <w:p w14:paraId="364D8B5B"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AGIL</w:t>
            </w:r>
          </w:p>
        </w:tc>
        <w:tc>
          <w:tcPr>
            <w:tcW w:w="677" w:type="dxa"/>
            <w:tcBorders>
              <w:top w:val="nil"/>
              <w:left w:val="nil"/>
              <w:bottom w:val="nil"/>
              <w:right w:val="nil"/>
            </w:tcBorders>
            <w:shd w:val="clear" w:color="000000" w:fill="D9D9D9"/>
            <w:noWrap/>
            <w:vAlign w:val="center"/>
            <w:hideMark/>
          </w:tcPr>
          <w:p w14:paraId="57E80004"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LGI</w:t>
            </w:r>
          </w:p>
        </w:tc>
        <w:tc>
          <w:tcPr>
            <w:tcW w:w="678" w:type="dxa"/>
            <w:tcBorders>
              <w:top w:val="nil"/>
              <w:left w:val="nil"/>
              <w:bottom w:val="nil"/>
              <w:right w:val="single" w:sz="8" w:space="0" w:color="auto"/>
            </w:tcBorders>
            <w:shd w:val="clear" w:color="000000" w:fill="D9D9D9"/>
            <w:noWrap/>
            <w:vAlign w:val="center"/>
            <w:hideMark/>
          </w:tcPr>
          <w:p w14:paraId="7A55911C"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AEI</w:t>
            </w:r>
          </w:p>
        </w:tc>
        <w:tc>
          <w:tcPr>
            <w:tcW w:w="677" w:type="dxa"/>
            <w:tcBorders>
              <w:top w:val="nil"/>
              <w:left w:val="nil"/>
              <w:bottom w:val="nil"/>
              <w:right w:val="nil"/>
            </w:tcBorders>
            <w:shd w:val="clear" w:color="000000" w:fill="D9D9D9"/>
            <w:noWrap/>
            <w:vAlign w:val="center"/>
            <w:hideMark/>
          </w:tcPr>
          <w:p w14:paraId="3FACE272"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AGIL</w:t>
            </w:r>
          </w:p>
        </w:tc>
        <w:tc>
          <w:tcPr>
            <w:tcW w:w="677" w:type="dxa"/>
            <w:tcBorders>
              <w:top w:val="nil"/>
              <w:left w:val="nil"/>
              <w:bottom w:val="nil"/>
              <w:right w:val="nil"/>
            </w:tcBorders>
            <w:shd w:val="clear" w:color="000000" w:fill="D9D9D9"/>
            <w:noWrap/>
            <w:vAlign w:val="center"/>
            <w:hideMark/>
          </w:tcPr>
          <w:p w14:paraId="6678123E"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LGI</w:t>
            </w:r>
          </w:p>
        </w:tc>
        <w:tc>
          <w:tcPr>
            <w:tcW w:w="678" w:type="dxa"/>
            <w:tcBorders>
              <w:top w:val="nil"/>
              <w:left w:val="nil"/>
              <w:bottom w:val="nil"/>
              <w:right w:val="single" w:sz="8" w:space="0" w:color="auto"/>
            </w:tcBorders>
            <w:shd w:val="clear" w:color="000000" w:fill="D9D9D9"/>
            <w:noWrap/>
            <w:vAlign w:val="center"/>
            <w:hideMark/>
          </w:tcPr>
          <w:p w14:paraId="2760C4C5"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AEI</w:t>
            </w:r>
          </w:p>
        </w:tc>
      </w:tr>
      <w:tr w:rsidR="00EF722F" w:rsidRPr="00EF722F" w14:paraId="297C260C" w14:textId="77777777" w:rsidTr="00F74BDC">
        <w:trPr>
          <w:trHeight w:val="509"/>
        </w:trPr>
        <w:tc>
          <w:tcPr>
            <w:tcW w:w="2150" w:type="dxa"/>
            <w:tcBorders>
              <w:top w:val="nil"/>
              <w:left w:val="nil"/>
              <w:bottom w:val="nil"/>
              <w:right w:val="nil"/>
            </w:tcBorders>
            <w:shd w:val="clear" w:color="auto" w:fill="auto"/>
            <w:noWrap/>
            <w:vAlign w:val="bottom"/>
            <w:hideMark/>
          </w:tcPr>
          <w:p w14:paraId="5618CA33"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p>
        </w:tc>
        <w:tc>
          <w:tcPr>
            <w:tcW w:w="2120" w:type="dxa"/>
            <w:gridSpan w:val="3"/>
            <w:tcBorders>
              <w:top w:val="single" w:sz="8" w:space="0" w:color="auto"/>
              <w:left w:val="single" w:sz="8" w:space="0" w:color="auto"/>
              <w:bottom w:val="single" w:sz="8" w:space="0" w:color="auto"/>
              <w:right w:val="single" w:sz="8" w:space="0" w:color="000000"/>
            </w:tcBorders>
            <w:shd w:val="clear" w:color="000000" w:fill="B4C6E7"/>
            <w:noWrap/>
            <w:vAlign w:val="center"/>
            <w:hideMark/>
          </w:tcPr>
          <w:p w14:paraId="1011F80C" w14:textId="77777777" w:rsidR="00EF722F" w:rsidRPr="00ED58A9" w:rsidRDefault="00EF722F" w:rsidP="00EF722F">
            <w:pPr>
              <w:spacing w:after="0" w:line="240" w:lineRule="auto"/>
              <w:jc w:val="center"/>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 xml:space="preserve">Pre-transfer (as at </w:t>
            </w:r>
            <w:r w:rsidRPr="00ED58A9">
              <w:rPr>
                <w:rFonts w:ascii="Trebuchet MS" w:eastAsia="Times New Roman" w:hAnsi="Trebuchet MS" w:cs="Calibri"/>
                <w:b/>
                <w:bCs/>
                <w:color w:val="000000"/>
                <w:sz w:val="16"/>
                <w:szCs w:val="16"/>
                <w:lang w:eastAsia="en-GB"/>
              </w:rPr>
              <w:t>YE19</w:t>
            </w:r>
            <w:r w:rsidRPr="00ED58A9">
              <w:rPr>
                <w:rFonts w:ascii="Trebuchet MS" w:eastAsia="Times New Roman" w:hAnsi="Trebuchet MS" w:cs="Calibri"/>
                <w:color w:val="000000"/>
                <w:sz w:val="16"/>
                <w:szCs w:val="16"/>
                <w:lang w:eastAsia="en-GB"/>
              </w:rPr>
              <w:t>)</w:t>
            </w:r>
          </w:p>
        </w:tc>
        <w:tc>
          <w:tcPr>
            <w:tcW w:w="2121" w:type="dxa"/>
            <w:gridSpan w:val="3"/>
            <w:tcBorders>
              <w:top w:val="single" w:sz="8" w:space="0" w:color="auto"/>
              <w:left w:val="nil"/>
              <w:bottom w:val="single" w:sz="8" w:space="0" w:color="auto"/>
              <w:right w:val="single" w:sz="8" w:space="0" w:color="000000"/>
            </w:tcBorders>
            <w:shd w:val="clear" w:color="000000" w:fill="B4C6E7"/>
            <w:vAlign w:val="center"/>
            <w:hideMark/>
          </w:tcPr>
          <w:p w14:paraId="1C659EF5" w14:textId="77777777" w:rsidR="00EF722F" w:rsidRPr="00ED58A9" w:rsidRDefault="00EF722F" w:rsidP="00EF722F">
            <w:pPr>
              <w:spacing w:after="0" w:line="240" w:lineRule="auto"/>
              <w:jc w:val="center"/>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 xml:space="preserve">Post transfer (as at </w:t>
            </w:r>
            <w:r w:rsidRPr="00ED58A9">
              <w:rPr>
                <w:rFonts w:ascii="Trebuchet MS" w:eastAsia="Times New Roman" w:hAnsi="Trebuchet MS" w:cs="Calibri"/>
                <w:b/>
                <w:bCs/>
                <w:color w:val="000000"/>
                <w:sz w:val="16"/>
                <w:szCs w:val="16"/>
                <w:lang w:eastAsia="en-GB"/>
              </w:rPr>
              <w:t>YE19</w:t>
            </w:r>
            <w:r w:rsidRPr="00ED58A9">
              <w:rPr>
                <w:rFonts w:ascii="Trebuchet MS" w:eastAsia="Times New Roman" w:hAnsi="Trebuchet MS" w:cs="Calibri"/>
                <w:color w:val="000000"/>
                <w:sz w:val="16"/>
                <w:szCs w:val="16"/>
                <w:lang w:eastAsia="en-GB"/>
              </w:rPr>
              <w:t xml:space="preserve"> + impact of Transfer)</w:t>
            </w:r>
          </w:p>
        </w:tc>
        <w:tc>
          <w:tcPr>
            <w:tcW w:w="2032" w:type="dxa"/>
            <w:gridSpan w:val="3"/>
            <w:tcBorders>
              <w:top w:val="single" w:sz="8" w:space="0" w:color="auto"/>
              <w:left w:val="nil"/>
              <w:bottom w:val="single" w:sz="8" w:space="0" w:color="auto"/>
              <w:right w:val="single" w:sz="8" w:space="0" w:color="000000"/>
            </w:tcBorders>
            <w:shd w:val="clear" w:color="000000" w:fill="C6E0B4"/>
            <w:noWrap/>
            <w:vAlign w:val="center"/>
            <w:hideMark/>
          </w:tcPr>
          <w:p w14:paraId="018FD222" w14:textId="77777777" w:rsidR="00EF722F" w:rsidRPr="00ED58A9" w:rsidRDefault="00EF722F" w:rsidP="00EF722F">
            <w:pPr>
              <w:spacing w:after="0" w:line="240" w:lineRule="auto"/>
              <w:jc w:val="center"/>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 xml:space="preserve">Pre-transfer (as at </w:t>
            </w:r>
            <w:r w:rsidRPr="00ED58A9">
              <w:rPr>
                <w:rFonts w:ascii="Trebuchet MS" w:eastAsia="Times New Roman" w:hAnsi="Trebuchet MS" w:cs="Calibri"/>
                <w:b/>
                <w:bCs/>
                <w:color w:val="000000"/>
                <w:sz w:val="16"/>
                <w:szCs w:val="16"/>
                <w:lang w:eastAsia="en-GB"/>
              </w:rPr>
              <w:t>YE19</w:t>
            </w:r>
            <w:r w:rsidRPr="00ED58A9">
              <w:rPr>
                <w:rFonts w:ascii="Trebuchet MS" w:eastAsia="Times New Roman" w:hAnsi="Trebuchet MS" w:cs="Calibri"/>
                <w:color w:val="000000"/>
                <w:sz w:val="16"/>
                <w:szCs w:val="16"/>
                <w:lang w:eastAsia="en-GB"/>
              </w:rPr>
              <w:t>)</w:t>
            </w:r>
          </w:p>
        </w:tc>
        <w:tc>
          <w:tcPr>
            <w:tcW w:w="2032" w:type="dxa"/>
            <w:gridSpan w:val="3"/>
            <w:tcBorders>
              <w:top w:val="single" w:sz="8" w:space="0" w:color="auto"/>
              <w:left w:val="nil"/>
              <w:bottom w:val="single" w:sz="8" w:space="0" w:color="auto"/>
              <w:right w:val="single" w:sz="8" w:space="0" w:color="000000"/>
            </w:tcBorders>
            <w:shd w:val="clear" w:color="000000" w:fill="C6E0B4"/>
            <w:vAlign w:val="center"/>
            <w:hideMark/>
          </w:tcPr>
          <w:p w14:paraId="057D0D84" w14:textId="77777777" w:rsidR="00EF722F" w:rsidRPr="00ED58A9" w:rsidRDefault="00EF722F" w:rsidP="00EF722F">
            <w:pPr>
              <w:spacing w:after="0" w:line="240" w:lineRule="auto"/>
              <w:jc w:val="center"/>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 xml:space="preserve">Post transfer (as at </w:t>
            </w:r>
            <w:r w:rsidRPr="00ED58A9">
              <w:rPr>
                <w:rFonts w:ascii="Trebuchet MS" w:eastAsia="Times New Roman" w:hAnsi="Trebuchet MS" w:cs="Calibri"/>
                <w:b/>
                <w:bCs/>
                <w:color w:val="000000"/>
                <w:sz w:val="16"/>
                <w:szCs w:val="16"/>
                <w:lang w:eastAsia="en-GB"/>
              </w:rPr>
              <w:t>YE19</w:t>
            </w:r>
            <w:r w:rsidRPr="00ED58A9">
              <w:rPr>
                <w:rFonts w:ascii="Trebuchet MS" w:eastAsia="Times New Roman" w:hAnsi="Trebuchet MS" w:cs="Calibri"/>
                <w:color w:val="000000"/>
                <w:sz w:val="16"/>
                <w:szCs w:val="16"/>
                <w:lang w:eastAsia="en-GB"/>
              </w:rPr>
              <w:t xml:space="preserve"> + impact of Transfer)</w:t>
            </w:r>
          </w:p>
        </w:tc>
      </w:tr>
      <w:tr w:rsidR="00EF722F" w:rsidRPr="00EF722F" w14:paraId="799DBD25" w14:textId="77777777" w:rsidTr="00F74BDC">
        <w:trPr>
          <w:trHeight w:val="385"/>
        </w:trPr>
        <w:tc>
          <w:tcPr>
            <w:tcW w:w="2150" w:type="dxa"/>
            <w:tcBorders>
              <w:top w:val="nil"/>
              <w:left w:val="nil"/>
              <w:bottom w:val="nil"/>
              <w:right w:val="nil"/>
            </w:tcBorders>
            <w:shd w:val="clear" w:color="auto" w:fill="auto"/>
            <w:noWrap/>
            <w:vAlign w:val="center"/>
            <w:hideMark/>
          </w:tcPr>
          <w:p w14:paraId="1ACC55F6"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Eligible Own Funds</w:t>
            </w:r>
          </w:p>
        </w:tc>
        <w:tc>
          <w:tcPr>
            <w:tcW w:w="706" w:type="dxa"/>
            <w:tcBorders>
              <w:top w:val="nil"/>
              <w:left w:val="single" w:sz="8" w:space="0" w:color="auto"/>
              <w:bottom w:val="nil"/>
              <w:right w:val="nil"/>
            </w:tcBorders>
            <w:shd w:val="clear" w:color="auto" w:fill="auto"/>
            <w:noWrap/>
            <w:vAlign w:val="center"/>
            <w:hideMark/>
          </w:tcPr>
          <w:p w14:paraId="2C0A9061"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87.9</w:t>
            </w:r>
          </w:p>
        </w:tc>
        <w:tc>
          <w:tcPr>
            <w:tcW w:w="706" w:type="dxa"/>
            <w:tcBorders>
              <w:top w:val="nil"/>
              <w:left w:val="nil"/>
              <w:bottom w:val="nil"/>
              <w:right w:val="nil"/>
            </w:tcBorders>
            <w:shd w:val="clear" w:color="auto" w:fill="auto"/>
            <w:noWrap/>
            <w:vAlign w:val="center"/>
            <w:hideMark/>
          </w:tcPr>
          <w:p w14:paraId="2C519871"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90.8</w:t>
            </w:r>
          </w:p>
        </w:tc>
        <w:tc>
          <w:tcPr>
            <w:tcW w:w="708" w:type="dxa"/>
            <w:tcBorders>
              <w:top w:val="nil"/>
              <w:left w:val="nil"/>
              <w:bottom w:val="nil"/>
              <w:right w:val="single" w:sz="8" w:space="0" w:color="auto"/>
            </w:tcBorders>
            <w:shd w:val="clear" w:color="auto" w:fill="auto"/>
            <w:noWrap/>
            <w:vAlign w:val="center"/>
            <w:hideMark/>
          </w:tcPr>
          <w:p w14:paraId="5151F5E9"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35.1</w:t>
            </w:r>
          </w:p>
        </w:tc>
        <w:tc>
          <w:tcPr>
            <w:tcW w:w="706" w:type="dxa"/>
            <w:tcBorders>
              <w:top w:val="nil"/>
              <w:left w:val="nil"/>
              <w:bottom w:val="nil"/>
              <w:right w:val="nil"/>
            </w:tcBorders>
            <w:shd w:val="clear" w:color="auto" w:fill="auto"/>
            <w:noWrap/>
            <w:vAlign w:val="center"/>
            <w:hideMark/>
          </w:tcPr>
          <w:p w14:paraId="5053DF72"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86.8</w:t>
            </w:r>
          </w:p>
        </w:tc>
        <w:tc>
          <w:tcPr>
            <w:tcW w:w="706" w:type="dxa"/>
            <w:tcBorders>
              <w:top w:val="nil"/>
              <w:left w:val="nil"/>
              <w:bottom w:val="nil"/>
              <w:right w:val="nil"/>
            </w:tcBorders>
            <w:shd w:val="clear" w:color="auto" w:fill="auto"/>
            <w:noWrap/>
            <w:vAlign w:val="center"/>
            <w:hideMark/>
          </w:tcPr>
          <w:p w14:paraId="3CAFFADF"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62.0</w:t>
            </w:r>
          </w:p>
        </w:tc>
        <w:tc>
          <w:tcPr>
            <w:tcW w:w="709" w:type="dxa"/>
            <w:tcBorders>
              <w:top w:val="nil"/>
              <w:left w:val="nil"/>
              <w:bottom w:val="nil"/>
              <w:right w:val="single" w:sz="8" w:space="0" w:color="auto"/>
            </w:tcBorders>
            <w:shd w:val="clear" w:color="auto" w:fill="auto"/>
            <w:noWrap/>
            <w:vAlign w:val="center"/>
            <w:hideMark/>
          </w:tcPr>
          <w:p w14:paraId="46380A6A"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66.8</w:t>
            </w:r>
          </w:p>
        </w:tc>
        <w:tc>
          <w:tcPr>
            <w:tcW w:w="677" w:type="dxa"/>
            <w:tcBorders>
              <w:top w:val="nil"/>
              <w:left w:val="nil"/>
              <w:bottom w:val="nil"/>
              <w:right w:val="nil"/>
            </w:tcBorders>
            <w:shd w:val="clear" w:color="auto" w:fill="auto"/>
            <w:noWrap/>
            <w:vAlign w:val="center"/>
            <w:hideMark/>
          </w:tcPr>
          <w:p w14:paraId="6EF45055"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94.9</w:t>
            </w:r>
          </w:p>
        </w:tc>
        <w:tc>
          <w:tcPr>
            <w:tcW w:w="677" w:type="dxa"/>
            <w:tcBorders>
              <w:top w:val="nil"/>
              <w:left w:val="nil"/>
              <w:bottom w:val="nil"/>
              <w:right w:val="nil"/>
            </w:tcBorders>
            <w:shd w:val="clear" w:color="auto" w:fill="auto"/>
            <w:noWrap/>
            <w:vAlign w:val="center"/>
            <w:hideMark/>
          </w:tcPr>
          <w:p w14:paraId="2DBAC630"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90.8</w:t>
            </w:r>
          </w:p>
        </w:tc>
        <w:tc>
          <w:tcPr>
            <w:tcW w:w="678" w:type="dxa"/>
            <w:tcBorders>
              <w:top w:val="nil"/>
              <w:left w:val="nil"/>
              <w:bottom w:val="nil"/>
              <w:right w:val="single" w:sz="8" w:space="0" w:color="auto"/>
            </w:tcBorders>
            <w:shd w:val="clear" w:color="auto" w:fill="auto"/>
            <w:noWrap/>
            <w:vAlign w:val="center"/>
            <w:hideMark/>
          </w:tcPr>
          <w:p w14:paraId="7151FC45"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37.4</w:t>
            </w:r>
          </w:p>
        </w:tc>
        <w:tc>
          <w:tcPr>
            <w:tcW w:w="677" w:type="dxa"/>
            <w:tcBorders>
              <w:top w:val="nil"/>
              <w:left w:val="nil"/>
              <w:bottom w:val="nil"/>
              <w:right w:val="nil"/>
            </w:tcBorders>
            <w:shd w:val="clear" w:color="auto" w:fill="auto"/>
            <w:noWrap/>
            <w:vAlign w:val="center"/>
            <w:hideMark/>
          </w:tcPr>
          <w:p w14:paraId="7147E54A"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105.0</w:t>
            </w:r>
          </w:p>
        </w:tc>
        <w:tc>
          <w:tcPr>
            <w:tcW w:w="677" w:type="dxa"/>
            <w:tcBorders>
              <w:top w:val="nil"/>
              <w:left w:val="nil"/>
              <w:bottom w:val="nil"/>
              <w:right w:val="nil"/>
            </w:tcBorders>
            <w:shd w:val="clear" w:color="auto" w:fill="auto"/>
            <w:noWrap/>
            <w:vAlign w:val="center"/>
            <w:hideMark/>
          </w:tcPr>
          <w:p w14:paraId="6E343C65"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53.2</w:t>
            </w:r>
          </w:p>
        </w:tc>
        <w:tc>
          <w:tcPr>
            <w:tcW w:w="678" w:type="dxa"/>
            <w:tcBorders>
              <w:top w:val="nil"/>
              <w:left w:val="nil"/>
              <w:bottom w:val="nil"/>
              <w:right w:val="single" w:sz="8" w:space="0" w:color="auto"/>
            </w:tcBorders>
            <w:shd w:val="clear" w:color="auto" w:fill="auto"/>
            <w:noWrap/>
            <w:vAlign w:val="center"/>
            <w:hideMark/>
          </w:tcPr>
          <w:p w14:paraId="64FDD9E9"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62.3</w:t>
            </w:r>
          </w:p>
        </w:tc>
      </w:tr>
      <w:tr w:rsidR="00EF722F" w:rsidRPr="00EF722F" w14:paraId="4C6D6380" w14:textId="77777777" w:rsidTr="00F74BDC">
        <w:trPr>
          <w:trHeight w:val="210"/>
        </w:trPr>
        <w:tc>
          <w:tcPr>
            <w:tcW w:w="2150" w:type="dxa"/>
            <w:tcBorders>
              <w:top w:val="nil"/>
              <w:left w:val="nil"/>
              <w:bottom w:val="nil"/>
              <w:right w:val="nil"/>
            </w:tcBorders>
            <w:shd w:val="clear" w:color="auto" w:fill="auto"/>
            <w:noWrap/>
            <w:vAlign w:val="center"/>
            <w:hideMark/>
          </w:tcPr>
          <w:p w14:paraId="336E3E29"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Regulatory SCR</w:t>
            </w:r>
          </w:p>
        </w:tc>
        <w:tc>
          <w:tcPr>
            <w:tcW w:w="706" w:type="dxa"/>
            <w:tcBorders>
              <w:top w:val="nil"/>
              <w:left w:val="single" w:sz="8" w:space="0" w:color="auto"/>
              <w:bottom w:val="nil"/>
              <w:right w:val="nil"/>
            </w:tcBorders>
            <w:shd w:val="clear" w:color="auto" w:fill="auto"/>
            <w:noWrap/>
            <w:vAlign w:val="center"/>
            <w:hideMark/>
          </w:tcPr>
          <w:p w14:paraId="27537F57"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59.6</w:t>
            </w:r>
          </w:p>
        </w:tc>
        <w:tc>
          <w:tcPr>
            <w:tcW w:w="706" w:type="dxa"/>
            <w:tcBorders>
              <w:top w:val="nil"/>
              <w:left w:val="nil"/>
              <w:bottom w:val="nil"/>
              <w:right w:val="nil"/>
            </w:tcBorders>
            <w:shd w:val="clear" w:color="auto" w:fill="auto"/>
            <w:noWrap/>
            <w:vAlign w:val="center"/>
            <w:hideMark/>
          </w:tcPr>
          <w:p w14:paraId="4948FB48"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46.2</w:t>
            </w:r>
          </w:p>
        </w:tc>
        <w:tc>
          <w:tcPr>
            <w:tcW w:w="708" w:type="dxa"/>
            <w:tcBorders>
              <w:top w:val="nil"/>
              <w:left w:val="nil"/>
              <w:bottom w:val="nil"/>
              <w:right w:val="single" w:sz="8" w:space="0" w:color="auto"/>
            </w:tcBorders>
            <w:shd w:val="clear" w:color="auto" w:fill="auto"/>
            <w:noWrap/>
            <w:vAlign w:val="center"/>
            <w:hideMark/>
          </w:tcPr>
          <w:p w14:paraId="0FDCC85C"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0.0</w:t>
            </w:r>
          </w:p>
        </w:tc>
        <w:tc>
          <w:tcPr>
            <w:tcW w:w="706" w:type="dxa"/>
            <w:tcBorders>
              <w:top w:val="nil"/>
              <w:left w:val="nil"/>
              <w:bottom w:val="nil"/>
              <w:right w:val="nil"/>
            </w:tcBorders>
            <w:shd w:val="clear" w:color="auto" w:fill="auto"/>
            <w:noWrap/>
            <w:vAlign w:val="center"/>
            <w:hideMark/>
          </w:tcPr>
          <w:p w14:paraId="23FF24AD"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54.9</w:t>
            </w:r>
          </w:p>
        </w:tc>
        <w:tc>
          <w:tcPr>
            <w:tcW w:w="706" w:type="dxa"/>
            <w:tcBorders>
              <w:top w:val="nil"/>
              <w:left w:val="nil"/>
              <w:bottom w:val="nil"/>
              <w:right w:val="nil"/>
            </w:tcBorders>
            <w:shd w:val="clear" w:color="auto" w:fill="auto"/>
            <w:noWrap/>
            <w:vAlign w:val="center"/>
            <w:hideMark/>
          </w:tcPr>
          <w:p w14:paraId="0E2EBD9E"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20.4</w:t>
            </w:r>
          </w:p>
        </w:tc>
        <w:tc>
          <w:tcPr>
            <w:tcW w:w="709" w:type="dxa"/>
            <w:tcBorders>
              <w:top w:val="nil"/>
              <w:left w:val="nil"/>
              <w:bottom w:val="nil"/>
              <w:right w:val="single" w:sz="8" w:space="0" w:color="auto"/>
            </w:tcBorders>
            <w:shd w:val="clear" w:color="auto" w:fill="auto"/>
            <w:noWrap/>
            <w:vAlign w:val="center"/>
            <w:hideMark/>
          </w:tcPr>
          <w:p w14:paraId="322D15CA"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43.5</w:t>
            </w:r>
          </w:p>
        </w:tc>
        <w:tc>
          <w:tcPr>
            <w:tcW w:w="677" w:type="dxa"/>
            <w:tcBorders>
              <w:top w:val="nil"/>
              <w:left w:val="nil"/>
              <w:bottom w:val="nil"/>
              <w:right w:val="nil"/>
            </w:tcBorders>
            <w:shd w:val="clear" w:color="auto" w:fill="auto"/>
            <w:noWrap/>
            <w:vAlign w:val="center"/>
            <w:hideMark/>
          </w:tcPr>
          <w:p w14:paraId="06A9B37D"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63.4</w:t>
            </w:r>
          </w:p>
        </w:tc>
        <w:tc>
          <w:tcPr>
            <w:tcW w:w="677" w:type="dxa"/>
            <w:tcBorders>
              <w:top w:val="nil"/>
              <w:left w:val="nil"/>
              <w:bottom w:val="nil"/>
              <w:right w:val="nil"/>
            </w:tcBorders>
            <w:shd w:val="clear" w:color="auto" w:fill="auto"/>
            <w:noWrap/>
            <w:vAlign w:val="center"/>
            <w:hideMark/>
          </w:tcPr>
          <w:p w14:paraId="3757725D"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46.2</w:t>
            </w:r>
          </w:p>
        </w:tc>
        <w:tc>
          <w:tcPr>
            <w:tcW w:w="678" w:type="dxa"/>
            <w:tcBorders>
              <w:top w:val="nil"/>
              <w:left w:val="nil"/>
              <w:bottom w:val="nil"/>
              <w:right w:val="single" w:sz="8" w:space="0" w:color="auto"/>
            </w:tcBorders>
            <w:shd w:val="clear" w:color="auto" w:fill="auto"/>
            <w:noWrap/>
            <w:vAlign w:val="center"/>
            <w:hideMark/>
          </w:tcPr>
          <w:p w14:paraId="30CB3D37"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0.0</w:t>
            </w:r>
          </w:p>
        </w:tc>
        <w:tc>
          <w:tcPr>
            <w:tcW w:w="677" w:type="dxa"/>
            <w:tcBorders>
              <w:top w:val="nil"/>
              <w:left w:val="nil"/>
              <w:bottom w:val="nil"/>
              <w:right w:val="nil"/>
            </w:tcBorders>
            <w:shd w:val="clear" w:color="auto" w:fill="auto"/>
            <w:noWrap/>
            <w:vAlign w:val="center"/>
            <w:hideMark/>
          </w:tcPr>
          <w:p w14:paraId="7FF8423D"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58.7</w:t>
            </w:r>
          </w:p>
        </w:tc>
        <w:tc>
          <w:tcPr>
            <w:tcW w:w="677" w:type="dxa"/>
            <w:tcBorders>
              <w:top w:val="nil"/>
              <w:left w:val="nil"/>
              <w:bottom w:val="nil"/>
              <w:right w:val="nil"/>
            </w:tcBorders>
            <w:shd w:val="clear" w:color="auto" w:fill="auto"/>
            <w:noWrap/>
            <w:vAlign w:val="center"/>
            <w:hideMark/>
          </w:tcPr>
          <w:p w14:paraId="72122780"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20.4</w:t>
            </w:r>
          </w:p>
        </w:tc>
        <w:tc>
          <w:tcPr>
            <w:tcW w:w="678" w:type="dxa"/>
            <w:tcBorders>
              <w:top w:val="nil"/>
              <w:left w:val="nil"/>
              <w:bottom w:val="nil"/>
              <w:right w:val="single" w:sz="8" w:space="0" w:color="auto"/>
            </w:tcBorders>
            <w:shd w:val="clear" w:color="auto" w:fill="auto"/>
            <w:noWrap/>
            <w:vAlign w:val="center"/>
            <w:hideMark/>
          </w:tcPr>
          <w:p w14:paraId="3D8257C1"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39.8</w:t>
            </w:r>
          </w:p>
        </w:tc>
      </w:tr>
      <w:tr w:rsidR="00EF722F" w:rsidRPr="00EF722F" w14:paraId="4F2E832B" w14:textId="77777777" w:rsidTr="00F74BDC">
        <w:trPr>
          <w:trHeight w:val="218"/>
        </w:trPr>
        <w:tc>
          <w:tcPr>
            <w:tcW w:w="2150" w:type="dxa"/>
            <w:tcBorders>
              <w:top w:val="nil"/>
              <w:left w:val="nil"/>
              <w:bottom w:val="nil"/>
              <w:right w:val="nil"/>
            </w:tcBorders>
            <w:shd w:val="clear" w:color="auto" w:fill="auto"/>
            <w:noWrap/>
            <w:vAlign w:val="center"/>
            <w:hideMark/>
          </w:tcPr>
          <w:p w14:paraId="1B8EFDEB"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SCR%</w:t>
            </w:r>
          </w:p>
        </w:tc>
        <w:tc>
          <w:tcPr>
            <w:tcW w:w="706" w:type="dxa"/>
            <w:tcBorders>
              <w:top w:val="nil"/>
              <w:left w:val="single" w:sz="8" w:space="0" w:color="auto"/>
              <w:bottom w:val="single" w:sz="8" w:space="0" w:color="auto"/>
              <w:right w:val="nil"/>
            </w:tcBorders>
            <w:shd w:val="clear" w:color="auto" w:fill="auto"/>
            <w:noWrap/>
            <w:vAlign w:val="center"/>
            <w:hideMark/>
          </w:tcPr>
          <w:p w14:paraId="57AFE0BC"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148%</w:t>
            </w:r>
          </w:p>
        </w:tc>
        <w:tc>
          <w:tcPr>
            <w:tcW w:w="706" w:type="dxa"/>
            <w:tcBorders>
              <w:top w:val="nil"/>
              <w:left w:val="nil"/>
              <w:bottom w:val="single" w:sz="8" w:space="0" w:color="auto"/>
              <w:right w:val="nil"/>
            </w:tcBorders>
            <w:shd w:val="clear" w:color="auto" w:fill="auto"/>
            <w:noWrap/>
            <w:vAlign w:val="center"/>
            <w:hideMark/>
          </w:tcPr>
          <w:p w14:paraId="114D6743"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196%</w:t>
            </w:r>
          </w:p>
        </w:tc>
        <w:tc>
          <w:tcPr>
            <w:tcW w:w="708" w:type="dxa"/>
            <w:tcBorders>
              <w:top w:val="nil"/>
              <w:left w:val="nil"/>
              <w:bottom w:val="single" w:sz="8" w:space="0" w:color="auto"/>
              <w:right w:val="single" w:sz="8" w:space="0" w:color="auto"/>
            </w:tcBorders>
            <w:shd w:val="clear" w:color="auto" w:fill="auto"/>
            <w:noWrap/>
            <w:vAlign w:val="center"/>
            <w:hideMark/>
          </w:tcPr>
          <w:p w14:paraId="617F3C72"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n/a</w:t>
            </w:r>
          </w:p>
        </w:tc>
        <w:tc>
          <w:tcPr>
            <w:tcW w:w="706" w:type="dxa"/>
            <w:tcBorders>
              <w:top w:val="nil"/>
              <w:left w:val="nil"/>
              <w:bottom w:val="single" w:sz="8" w:space="0" w:color="auto"/>
              <w:right w:val="nil"/>
            </w:tcBorders>
            <w:shd w:val="clear" w:color="auto" w:fill="auto"/>
            <w:noWrap/>
            <w:vAlign w:val="center"/>
            <w:hideMark/>
          </w:tcPr>
          <w:p w14:paraId="693EC9B6"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158%</w:t>
            </w:r>
          </w:p>
        </w:tc>
        <w:tc>
          <w:tcPr>
            <w:tcW w:w="706" w:type="dxa"/>
            <w:tcBorders>
              <w:top w:val="nil"/>
              <w:left w:val="nil"/>
              <w:bottom w:val="single" w:sz="8" w:space="0" w:color="auto"/>
              <w:right w:val="nil"/>
            </w:tcBorders>
            <w:shd w:val="clear" w:color="auto" w:fill="auto"/>
            <w:noWrap/>
            <w:vAlign w:val="center"/>
            <w:hideMark/>
          </w:tcPr>
          <w:p w14:paraId="28CD4554"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305%</w:t>
            </w:r>
          </w:p>
        </w:tc>
        <w:tc>
          <w:tcPr>
            <w:tcW w:w="709" w:type="dxa"/>
            <w:tcBorders>
              <w:top w:val="nil"/>
              <w:left w:val="nil"/>
              <w:bottom w:val="single" w:sz="8" w:space="0" w:color="auto"/>
              <w:right w:val="single" w:sz="8" w:space="0" w:color="auto"/>
            </w:tcBorders>
            <w:shd w:val="clear" w:color="auto" w:fill="auto"/>
            <w:noWrap/>
            <w:vAlign w:val="center"/>
            <w:hideMark/>
          </w:tcPr>
          <w:p w14:paraId="65E964CE"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154%</w:t>
            </w:r>
          </w:p>
        </w:tc>
        <w:tc>
          <w:tcPr>
            <w:tcW w:w="677" w:type="dxa"/>
            <w:tcBorders>
              <w:top w:val="nil"/>
              <w:left w:val="nil"/>
              <w:bottom w:val="single" w:sz="8" w:space="0" w:color="auto"/>
              <w:right w:val="nil"/>
            </w:tcBorders>
            <w:shd w:val="clear" w:color="auto" w:fill="auto"/>
            <w:noWrap/>
            <w:vAlign w:val="center"/>
            <w:hideMark/>
          </w:tcPr>
          <w:p w14:paraId="45CD2301"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150%</w:t>
            </w:r>
          </w:p>
        </w:tc>
        <w:tc>
          <w:tcPr>
            <w:tcW w:w="677" w:type="dxa"/>
            <w:tcBorders>
              <w:top w:val="nil"/>
              <w:left w:val="nil"/>
              <w:bottom w:val="single" w:sz="8" w:space="0" w:color="auto"/>
              <w:right w:val="nil"/>
            </w:tcBorders>
            <w:shd w:val="clear" w:color="auto" w:fill="auto"/>
            <w:noWrap/>
            <w:vAlign w:val="center"/>
            <w:hideMark/>
          </w:tcPr>
          <w:p w14:paraId="69C4B3FA"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196%</w:t>
            </w:r>
          </w:p>
        </w:tc>
        <w:tc>
          <w:tcPr>
            <w:tcW w:w="678" w:type="dxa"/>
            <w:tcBorders>
              <w:top w:val="nil"/>
              <w:left w:val="nil"/>
              <w:bottom w:val="single" w:sz="8" w:space="0" w:color="auto"/>
              <w:right w:val="single" w:sz="8" w:space="0" w:color="auto"/>
            </w:tcBorders>
            <w:shd w:val="clear" w:color="auto" w:fill="auto"/>
            <w:noWrap/>
            <w:vAlign w:val="center"/>
            <w:hideMark/>
          </w:tcPr>
          <w:p w14:paraId="3A397D20"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n/a</w:t>
            </w:r>
          </w:p>
        </w:tc>
        <w:tc>
          <w:tcPr>
            <w:tcW w:w="677" w:type="dxa"/>
            <w:tcBorders>
              <w:top w:val="nil"/>
              <w:left w:val="nil"/>
              <w:bottom w:val="single" w:sz="8" w:space="0" w:color="auto"/>
              <w:right w:val="nil"/>
            </w:tcBorders>
            <w:shd w:val="clear" w:color="auto" w:fill="auto"/>
            <w:noWrap/>
            <w:vAlign w:val="center"/>
            <w:hideMark/>
          </w:tcPr>
          <w:p w14:paraId="4A81FF67"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179%</w:t>
            </w:r>
          </w:p>
        </w:tc>
        <w:tc>
          <w:tcPr>
            <w:tcW w:w="677" w:type="dxa"/>
            <w:tcBorders>
              <w:top w:val="nil"/>
              <w:left w:val="nil"/>
              <w:bottom w:val="single" w:sz="8" w:space="0" w:color="auto"/>
              <w:right w:val="nil"/>
            </w:tcBorders>
            <w:shd w:val="clear" w:color="auto" w:fill="auto"/>
            <w:noWrap/>
            <w:vAlign w:val="center"/>
            <w:hideMark/>
          </w:tcPr>
          <w:p w14:paraId="782FF6E5"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261%</w:t>
            </w:r>
          </w:p>
        </w:tc>
        <w:tc>
          <w:tcPr>
            <w:tcW w:w="678" w:type="dxa"/>
            <w:tcBorders>
              <w:top w:val="nil"/>
              <w:left w:val="nil"/>
              <w:bottom w:val="single" w:sz="8" w:space="0" w:color="auto"/>
              <w:right w:val="single" w:sz="8" w:space="0" w:color="auto"/>
            </w:tcBorders>
            <w:shd w:val="clear" w:color="auto" w:fill="auto"/>
            <w:noWrap/>
            <w:vAlign w:val="center"/>
            <w:hideMark/>
          </w:tcPr>
          <w:p w14:paraId="631F9F48"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157%</w:t>
            </w:r>
          </w:p>
        </w:tc>
      </w:tr>
      <w:tr w:rsidR="00EF722F" w:rsidRPr="00EF722F" w14:paraId="17FF8160" w14:textId="77777777" w:rsidTr="00F74BDC">
        <w:trPr>
          <w:trHeight w:val="509"/>
        </w:trPr>
        <w:tc>
          <w:tcPr>
            <w:tcW w:w="2150" w:type="dxa"/>
            <w:tcBorders>
              <w:top w:val="nil"/>
              <w:left w:val="nil"/>
              <w:bottom w:val="nil"/>
              <w:right w:val="nil"/>
            </w:tcBorders>
            <w:shd w:val="clear" w:color="auto" w:fill="auto"/>
            <w:noWrap/>
            <w:vAlign w:val="bottom"/>
            <w:hideMark/>
          </w:tcPr>
          <w:p w14:paraId="466AE5AF"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p>
        </w:tc>
        <w:tc>
          <w:tcPr>
            <w:tcW w:w="2120" w:type="dxa"/>
            <w:gridSpan w:val="3"/>
            <w:tcBorders>
              <w:top w:val="single" w:sz="8" w:space="0" w:color="auto"/>
              <w:left w:val="single" w:sz="8" w:space="0" w:color="auto"/>
              <w:bottom w:val="nil"/>
              <w:right w:val="single" w:sz="8" w:space="0" w:color="000000"/>
            </w:tcBorders>
            <w:shd w:val="clear" w:color="000000" w:fill="B4C6E7"/>
            <w:vAlign w:val="center"/>
            <w:hideMark/>
          </w:tcPr>
          <w:p w14:paraId="0DFA34FB" w14:textId="77777777" w:rsidR="00EF722F" w:rsidRPr="00ED58A9" w:rsidRDefault="00EF722F" w:rsidP="00EF722F">
            <w:pPr>
              <w:spacing w:after="0" w:line="240" w:lineRule="auto"/>
              <w:jc w:val="center"/>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 xml:space="preserve">Pre-transfer (as at </w:t>
            </w:r>
            <w:r w:rsidRPr="00ED58A9">
              <w:rPr>
                <w:rFonts w:ascii="Trebuchet MS" w:eastAsia="Times New Roman" w:hAnsi="Trebuchet MS" w:cs="Calibri"/>
                <w:b/>
                <w:bCs/>
                <w:color w:val="000000"/>
                <w:sz w:val="16"/>
                <w:szCs w:val="16"/>
                <w:lang w:eastAsia="en-GB"/>
              </w:rPr>
              <w:t>YE19</w:t>
            </w:r>
            <w:r w:rsidRPr="00ED58A9">
              <w:rPr>
                <w:rFonts w:ascii="Trebuchet MS" w:eastAsia="Times New Roman" w:hAnsi="Trebuchet MS" w:cs="Calibri"/>
                <w:color w:val="000000"/>
                <w:sz w:val="16"/>
                <w:szCs w:val="16"/>
                <w:lang w:eastAsia="en-GB"/>
              </w:rPr>
              <w:t>) With impact of COVID-19</w:t>
            </w:r>
          </w:p>
        </w:tc>
        <w:tc>
          <w:tcPr>
            <w:tcW w:w="2121" w:type="dxa"/>
            <w:gridSpan w:val="3"/>
            <w:tcBorders>
              <w:top w:val="single" w:sz="8" w:space="0" w:color="auto"/>
              <w:left w:val="nil"/>
              <w:bottom w:val="nil"/>
              <w:right w:val="single" w:sz="8" w:space="0" w:color="000000"/>
            </w:tcBorders>
            <w:shd w:val="clear" w:color="000000" w:fill="B4C6E7"/>
            <w:vAlign w:val="center"/>
            <w:hideMark/>
          </w:tcPr>
          <w:p w14:paraId="52CF42D2" w14:textId="77777777" w:rsidR="00EF722F" w:rsidRPr="00ED58A9" w:rsidRDefault="00EF722F" w:rsidP="00EF722F">
            <w:pPr>
              <w:spacing w:after="0" w:line="240" w:lineRule="auto"/>
              <w:jc w:val="center"/>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 xml:space="preserve">Post transfer (as at </w:t>
            </w:r>
            <w:r w:rsidRPr="00ED58A9">
              <w:rPr>
                <w:rFonts w:ascii="Trebuchet MS" w:eastAsia="Times New Roman" w:hAnsi="Trebuchet MS" w:cs="Calibri"/>
                <w:b/>
                <w:bCs/>
                <w:color w:val="000000"/>
                <w:sz w:val="16"/>
                <w:szCs w:val="16"/>
                <w:lang w:eastAsia="en-GB"/>
              </w:rPr>
              <w:t>YE19</w:t>
            </w:r>
            <w:r w:rsidRPr="00ED58A9">
              <w:rPr>
                <w:rFonts w:ascii="Trebuchet MS" w:eastAsia="Times New Roman" w:hAnsi="Trebuchet MS" w:cs="Calibri"/>
                <w:color w:val="000000"/>
                <w:sz w:val="16"/>
                <w:szCs w:val="16"/>
                <w:lang w:eastAsia="en-GB"/>
              </w:rPr>
              <w:t xml:space="preserve"> + impact of Transfer) With impact of COVID-19</w:t>
            </w:r>
          </w:p>
        </w:tc>
        <w:tc>
          <w:tcPr>
            <w:tcW w:w="2032" w:type="dxa"/>
            <w:gridSpan w:val="3"/>
            <w:tcBorders>
              <w:top w:val="single" w:sz="8" w:space="0" w:color="auto"/>
              <w:left w:val="nil"/>
              <w:bottom w:val="nil"/>
              <w:right w:val="single" w:sz="8" w:space="0" w:color="000000"/>
            </w:tcBorders>
            <w:shd w:val="clear" w:color="000000" w:fill="C6E0B4"/>
            <w:vAlign w:val="center"/>
            <w:hideMark/>
          </w:tcPr>
          <w:p w14:paraId="7443509F" w14:textId="77777777" w:rsidR="00EF722F" w:rsidRPr="00ED58A9" w:rsidRDefault="00EF722F" w:rsidP="00EF722F">
            <w:pPr>
              <w:spacing w:after="0" w:line="240" w:lineRule="auto"/>
              <w:jc w:val="center"/>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 xml:space="preserve">Pre-transfer (as at </w:t>
            </w:r>
            <w:r w:rsidRPr="00ED58A9">
              <w:rPr>
                <w:rFonts w:ascii="Trebuchet MS" w:eastAsia="Times New Roman" w:hAnsi="Trebuchet MS" w:cs="Calibri"/>
                <w:b/>
                <w:bCs/>
                <w:color w:val="000000"/>
                <w:sz w:val="16"/>
                <w:szCs w:val="16"/>
                <w:lang w:eastAsia="en-GB"/>
              </w:rPr>
              <w:t>YE19</w:t>
            </w:r>
            <w:r w:rsidRPr="00ED58A9">
              <w:rPr>
                <w:rFonts w:ascii="Trebuchet MS" w:eastAsia="Times New Roman" w:hAnsi="Trebuchet MS" w:cs="Calibri"/>
                <w:color w:val="000000"/>
                <w:sz w:val="16"/>
                <w:szCs w:val="16"/>
                <w:lang w:eastAsia="en-GB"/>
              </w:rPr>
              <w:t>) With impact of COVID-19</w:t>
            </w:r>
          </w:p>
        </w:tc>
        <w:tc>
          <w:tcPr>
            <w:tcW w:w="2032" w:type="dxa"/>
            <w:gridSpan w:val="3"/>
            <w:tcBorders>
              <w:top w:val="single" w:sz="8" w:space="0" w:color="auto"/>
              <w:left w:val="nil"/>
              <w:bottom w:val="nil"/>
              <w:right w:val="single" w:sz="8" w:space="0" w:color="000000"/>
            </w:tcBorders>
            <w:shd w:val="clear" w:color="000000" w:fill="C6E0B4"/>
            <w:vAlign w:val="center"/>
            <w:hideMark/>
          </w:tcPr>
          <w:p w14:paraId="5578D7E6" w14:textId="77777777" w:rsidR="00EF722F" w:rsidRPr="00ED58A9" w:rsidRDefault="00EF722F" w:rsidP="00EF722F">
            <w:pPr>
              <w:spacing w:after="0" w:line="240" w:lineRule="auto"/>
              <w:jc w:val="center"/>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 xml:space="preserve">Post transfer (as at </w:t>
            </w:r>
            <w:r w:rsidRPr="00ED58A9">
              <w:rPr>
                <w:rFonts w:ascii="Trebuchet MS" w:eastAsia="Times New Roman" w:hAnsi="Trebuchet MS" w:cs="Calibri"/>
                <w:b/>
                <w:bCs/>
                <w:color w:val="000000"/>
                <w:sz w:val="16"/>
                <w:szCs w:val="16"/>
                <w:lang w:eastAsia="en-GB"/>
              </w:rPr>
              <w:t>YE19</w:t>
            </w:r>
            <w:r w:rsidRPr="00ED58A9">
              <w:rPr>
                <w:rFonts w:ascii="Trebuchet MS" w:eastAsia="Times New Roman" w:hAnsi="Trebuchet MS" w:cs="Calibri"/>
                <w:color w:val="000000"/>
                <w:sz w:val="16"/>
                <w:szCs w:val="16"/>
                <w:lang w:eastAsia="en-GB"/>
              </w:rPr>
              <w:t xml:space="preserve"> + impact of Transfer) With impact of COVID-19</w:t>
            </w:r>
          </w:p>
        </w:tc>
      </w:tr>
      <w:tr w:rsidR="00EF722F" w:rsidRPr="00EF722F" w14:paraId="7C9C3597" w14:textId="77777777" w:rsidTr="00F74BDC">
        <w:trPr>
          <w:trHeight w:val="577"/>
        </w:trPr>
        <w:tc>
          <w:tcPr>
            <w:tcW w:w="2150" w:type="dxa"/>
            <w:tcBorders>
              <w:top w:val="nil"/>
              <w:left w:val="nil"/>
              <w:bottom w:val="nil"/>
              <w:right w:val="nil"/>
            </w:tcBorders>
            <w:shd w:val="clear" w:color="auto" w:fill="auto"/>
            <w:noWrap/>
            <w:vAlign w:val="center"/>
            <w:hideMark/>
          </w:tcPr>
          <w:p w14:paraId="40130C27"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Eligible Own Funds</w:t>
            </w:r>
          </w:p>
        </w:tc>
        <w:tc>
          <w:tcPr>
            <w:tcW w:w="706" w:type="dxa"/>
            <w:tcBorders>
              <w:top w:val="nil"/>
              <w:left w:val="single" w:sz="8" w:space="0" w:color="auto"/>
              <w:bottom w:val="nil"/>
              <w:right w:val="nil"/>
            </w:tcBorders>
            <w:shd w:val="clear" w:color="auto" w:fill="auto"/>
            <w:noWrap/>
            <w:vAlign w:val="center"/>
            <w:hideMark/>
          </w:tcPr>
          <w:p w14:paraId="35C60A90"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83.6</w:t>
            </w:r>
          </w:p>
        </w:tc>
        <w:tc>
          <w:tcPr>
            <w:tcW w:w="706" w:type="dxa"/>
            <w:tcBorders>
              <w:top w:val="nil"/>
              <w:left w:val="nil"/>
              <w:bottom w:val="nil"/>
              <w:right w:val="nil"/>
            </w:tcBorders>
            <w:shd w:val="clear" w:color="auto" w:fill="auto"/>
            <w:noWrap/>
            <w:vAlign w:val="center"/>
            <w:hideMark/>
          </w:tcPr>
          <w:p w14:paraId="098FFA5A"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83.1</w:t>
            </w:r>
          </w:p>
        </w:tc>
        <w:tc>
          <w:tcPr>
            <w:tcW w:w="708" w:type="dxa"/>
            <w:tcBorders>
              <w:top w:val="nil"/>
              <w:left w:val="nil"/>
              <w:bottom w:val="nil"/>
              <w:right w:val="single" w:sz="8" w:space="0" w:color="auto"/>
            </w:tcBorders>
            <w:shd w:val="clear" w:color="auto" w:fill="auto"/>
            <w:noWrap/>
            <w:vAlign w:val="center"/>
            <w:hideMark/>
          </w:tcPr>
          <w:p w14:paraId="7383FF79"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35.1</w:t>
            </w:r>
          </w:p>
        </w:tc>
        <w:tc>
          <w:tcPr>
            <w:tcW w:w="706" w:type="dxa"/>
            <w:tcBorders>
              <w:top w:val="nil"/>
              <w:left w:val="nil"/>
              <w:bottom w:val="nil"/>
              <w:right w:val="nil"/>
            </w:tcBorders>
            <w:shd w:val="clear" w:color="auto" w:fill="auto"/>
            <w:noWrap/>
            <w:vAlign w:val="center"/>
            <w:hideMark/>
          </w:tcPr>
          <w:p w14:paraId="29ECA850"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83.3</w:t>
            </w:r>
          </w:p>
        </w:tc>
        <w:tc>
          <w:tcPr>
            <w:tcW w:w="706" w:type="dxa"/>
            <w:tcBorders>
              <w:top w:val="nil"/>
              <w:left w:val="nil"/>
              <w:bottom w:val="nil"/>
              <w:right w:val="nil"/>
            </w:tcBorders>
            <w:shd w:val="clear" w:color="auto" w:fill="auto"/>
            <w:noWrap/>
            <w:vAlign w:val="center"/>
            <w:hideMark/>
          </w:tcPr>
          <w:p w14:paraId="7701D981"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58.7</w:t>
            </w:r>
          </w:p>
        </w:tc>
        <w:tc>
          <w:tcPr>
            <w:tcW w:w="709" w:type="dxa"/>
            <w:tcBorders>
              <w:top w:val="nil"/>
              <w:left w:val="nil"/>
              <w:bottom w:val="nil"/>
              <w:right w:val="single" w:sz="8" w:space="0" w:color="auto"/>
            </w:tcBorders>
            <w:shd w:val="clear" w:color="auto" w:fill="auto"/>
            <w:noWrap/>
            <w:vAlign w:val="center"/>
            <w:hideMark/>
          </w:tcPr>
          <w:p w14:paraId="1D021EE7"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64.4</w:t>
            </w:r>
          </w:p>
        </w:tc>
        <w:tc>
          <w:tcPr>
            <w:tcW w:w="677" w:type="dxa"/>
            <w:tcBorders>
              <w:top w:val="nil"/>
              <w:left w:val="nil"/>
              <w:bottom w:val="nil"/>
              <w:right w:val="nil"/>
            </w:tcBorders>
            <w:shd w:val="clear" w:color="auto" w:fill="auto"/>
            <w:noWrap/>
            <w:vAlign w:val="center"/>
            <w:hideMark/>
          </w:tcPr>
          <w:p w14:paraId="75685344"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90.7</w:t>
            </w:r>
          </w:p>
        </w:tc>
        <w:tc>
          <w:tcPr>
            <w:tcW w:w="677" w:type="dxa"/>
            <w:tcBorders>
              <w:top w:val="nil"/>
              <w:left w:val="nil"/>
              <w:bottom w:val="nil"/>
              <w:right w:val="nil"/>
            </w:tcBorders>
            <w:shd w:val="clear" w:color="auto" w:fill="auto"/>
            <w:noWrap/>
            <w:vAlign w:val="center"/>
            <w:hideMark/>
          </w:tcPr>
          <w:p w14:paraId="3E4F3F41"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83.1</w:t>
            </w:r>
          </w:p>
        </w:tc>
        <w:tc>
          <w:tcPr>
            <w:tcW w:w="678" w:type="dxa"/>
            <w:tcBorders>
              <w:top w:val="nil"/>
              <w:left w:val="nil"/>
              <w:bottom w:val="nil"/>
              <w:right w:val="single" w:sz="8" w:space="0" w:color="auto"/>
            </w:tcBorders>
            <w:shd w:val="clear" w:color="auto" w:fill="auto"/>
            <w:noWrap/>
            <w:vAlign w:val="center"/>
            <w:hideMark/>
          </w:tcPr>
          <w:p w14:paraId="013A7BA8"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37.4</w:t>
            </w:r>
          </w:p>
        </w:tc>
        <w:tc>
          <w:tcPr>
            <w:tcW w:w="677" w:type="dxa"/>
            <w:tcBorders>
              <w:top w:val="nil"/>
              <w:left w:val="nil"/>
              <w:bottom w:val="nil"/>
              <w:right w:val="nil"/>
            </w:tcBorders>
            <w:shd w:val="clear" w:color="auto" w:fill="auto"/>
            <w:noWrap/>
            <w:vAlign w:val="center"/>
            <w:hideMark/>
          </w:tcPr>
          <w:p w14:paraId="3BA683BE"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100.8</w:t>
            </w:r>
          </w:p>
        </w:tc>
        <w:tc>
          <w:tcPr>
            <w:tcW w:w="677" w:type="dxa"/>
            <w:tcBorders>
              <w:top w:val="nil"/>
              <w:left w:val="nil"/>
              <w:bottom w:val="nil"/>
              <w:right w:val="nil"/>
            </w:tcBorders>
            <w:shd w:val="clear" w:color="auto" w:fill="auto"/>
            <w:noWrap/>
            <w:vAlign w:val="center"/>
            <w:hideMark/>
          </w:tcPr>
          <w:p w14:paraId="7E18F433"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45.6</w:t>
            </w:r>
          </w:p>
        </w:tc>
        <w:tc>
          <w:tcPr>
            <w:tcW w:w="678" w:type="dxa"/>
            <w:tcBorders>
              <w:top w:val="nil"/>
              <w:left w:val="nil"/>
              <w:bottom w:val="nil"/>
              <w:right w:val="single" w:sz="8" w:space="0" w:color="auto"/>
            </w:tcBorders>
            <w:shd w:val="clear" w:color="auto" w:fill="auto"/>
            <w:noWrap/>
            <w:vAlign w:val="center"/>
            <w:hideMark/>
          </w:tcPr>
          <w:p w14:paraId="1E5D4E94"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62.3</w:t>
            </w:r>
          </w:p>
        </w:tc>
      </w:tr>
      <w:tr w:rsidR="00EF722F" w:rsidRPr="00EF722F" w14:paraId="78C9FC38" w14:textId="77777777" w:rsidTr="00F74BDC">
        <w:trPr>
          <w:trHeight w:val="210"/>
        </w:trPr>
        <w:tc>
          <w:tcPr>
            <w:tcW w:w="2150" w:type="dxa"/>
            <w:tcBorders>
              <w:top w:val="nil"/>
              <w:left w:val="nil"/>
              <w:bottom w:val="nil"/>
              <w:right w:val="nil"/>
            </w:tcBorders>
            <w:shd w:val="clear" w:color="auto" w:fill="auto"/>
            <w:noWrap/>
            <w:vAlign w:val="center"/>
            <w:hideMark/>
          </w:tcPr>
          <w:p w14:paraId="0FC0DA0B"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Regulatory SCR</w:t>
            </w:r>
          </w:p>
        </w:tc>
        <w:tc>
          <w:tcPr>
            <w:tcW w:w="706" w:type="dxa"/>
            <w:tcBorders>
              <w:top w:val="nil"/>
              <w:left w:val="single" w:sz="8" w:space="0" w:color="auto"/>
              <w:bottom w:val="nil"/>
              <w:right w:val="nil"/>
            </w:tcBorders>
            <w:shd w:val="clear" w:color="auto" w:fill="auto"/>
            <w:noWrap/>
            <w:vAlign w:val="center"/>
            <w:hideMark/>
          </w:tcPr>
          <w:p w14:paraId="747998F5"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59.6</w:t>
            </w:r>
          </w:p>
        </w:tc>
        <w:tc>
          <w:tcPr>
            <w:tcW w:w="706" w:type="dxa"/>
            <w:tcBorders>
              <w:top w:val="nil"/>
              <w:left w:val="nil"/>
              <w:bottom w:val="nil"/>
              <w:right w:val="nil"/>
            </w:tcBorders>
            <w:shd w:val="clear" w:color="auto" w:fill="auto"/>
            <w:noWrap/>
            <w:vAlign w:val="center"/>
            <w:hideMark/>
          </w:tcPr>
          <w:p w14:paraId="77EDDB59"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46.2</w:t>
            </w:r>
          </w:p>
        </w:tc>
        <w:tc>
          <w:tcPr>
            <w:tcW w:w="708" w:type="dxa"/>
            <w:tcBorders>
              <w:top w:val="nil"/>
              <w:left w:val="nil"/>
              <w:bottom w:val="nil"/>
              <w:right w:val="single" w:sz="8" w:space="0" w:color="auto"/>
            </w:tcBorders>
            <w:shd w:val="clear" w:color="auto" w:fill="auto"/>
            <w:noWrap/>
            <w:vAlign w:val="center"/>
            <w:hideMark/>
          </w:tcPr>
          <w:p w14:paraId="7B04D858"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0.0</w:t>
            </w:r>
          </w:p>
        </w:tc>
        <w:tc>
          <w:tcPr>
            <w:tcW w:w="706" w:type="dxa"/>
            <w:tcBorders>
              <w:top w:val="nil"/>
              <w:left w:val="nil"/>
              <w:bottom w:val="nil"/>
              <w:right w:val="nil"/>
            </w:tcBorders>
            <w:shd w:val="clear" w:color="auto" w:fill="auto"/>
            <w:noWrap/>
            <w:vAlign w:val="center"/>
            <w:hideMark/>
          </w:tcPr>
          <w:p w14:paraId="03ECA148"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54.9</w:t>
            </w:r>
          </w:p>
        </w:tc>
        <w:tc>
          <w:tcPr>
            <w:tcW w:w="706" w:type="dxa"/>
            <w:tcBorders>
              <w:top w:val="nil"/>
              <w:left w:val="nil"/>
              <w:bottom w:val="nil"/>
              <w:right w:val="nil"/>
            </w:tcBorders>
            <w:shd w:val="clear" w:color="auto" w:fill="auto"/>
            <w:noWrap/>
            <w:vAlign w:val="center"/>
            <w:hideMark/>
          </w:tcPr>
          <w:p w14:paraId="27F3FDA2"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20.4</w:t>
            </w:r>
          </w:p>
        </w:tc>
        <w:tc>
          <w:tcPr>
            <w:tcW w:w="709" w:type="dxa"/>
            <w:tcBorders>
              <w:top w:val="nil"/>
              <w:left w:val="nil"/>
              <w:bottom w:val="nil"/>
              <w:right w:val="single" w:sz="8" w:space="0" w:color="auto"/>
            </w:tcBorders>
            <w:shd w:val="clear" w:color="auto" w:fill="auto"/>
            <w:noWrap/>
            <w:vAlign w:val="center"/>
            <w:hideMark/>
          </w:tcPr>
          <w:p w14:paraId="5655E559"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43.5</w:t>
            </w:r>
          </w:p>
        </w:tc>
        <w:tc>
          <w:tcPr>
            <w:tcW w:w="677" w:type="dxa"/>
            <w:tcBorders>
              <w:top w:val="nil"/>
              <w:left w:val="nil"/>
              <w:bottom w:val="nil"/>
              <w:right w:val="nil"/>
            </w:tcBorders>
            <w:shd w:val="clear" w:color="auto" w:fill="auto"/>
            <w:noWrap/>
            <w:vAlign w:val="center"/>
            <w:hideMark/>
          </w:tcPr>
          <w:p w14:paraId="384C7BB2"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63.4</w:t>
            </w:r>
          </w:p>
        </w:tc>
        <w:tc>
          <w:tcPr>
            <w:tcW w:w="677" w:type="dxa"/>
            <w:tcBorders>
              <w:top w:val="nil"/>
              <w:left w:val="nil"/>
              <w:bottom w:val="nil"/>
              <w:right w:val="nil"/>
            </w:tcBorders>
            <w:shd w:val="clear" w:color="auto" w:fill="auto"/>
            <w:noWrap/>
            <w:vAlign w:val="center"/>
            <w:hideMark/>
          </w:tcPr>
          <w:p w14:paraId="693238DF"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46.2</w:t>
            </w:r>
          </w:p>
        </w:tc>
        <w:tc>
          <w:tcPr>
            <w:tcW w:w="678" w:type="dxa"/>
            <w:tcBorders>
              <w:top w:val="nil"/>
              <w:left w:val="nil"/>
              <w:bottom w:val="nil"/>
              <w:right w:val="single" w:sz="8" w:space="0" w:color="auto"/>
            </w:tcBorders>
            <w:shd w:val="clear" w:color="auto" w:fill="auto"/>
            <w:noWrap/>
            <w:vAlign w:val="center"/>
            <w:hideMark/>
          </w:tcPr>
          <w:p w14:paraId="46BCC1B7"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0.0</w:t>
            </w:r>
          </w:p>
        </w:tc>
        <w:tc>
          <w:tcPr>
            <w:tcW w:w="677" w:type="dxa"/>
            <w:tcBorders>
              <w:top w:val="nil"/>
              <w:left w:val="nil"/>
              <w:bottom w:val="nil"/>
              <w:right w:val="nil"/>
            </w:tcBorders>
            <w:shd w:val="clear" w:color="auto" w:fill="auto"/>
            <w:noWrap/>
            <w:vAlign w:val="center"/>
            <w:hideMark/>
          </w:tcPr>
          <w:p w14:paraId="5260693D"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58.7</w:t>
            </w:r>
          </w:p>
        </w:tc>
        <w:tc>
          <w:tcPr>
            <w:tcW w:w="677" w:type="dxa"/>
            <w:tcBorders>
              <w:top w:val="nil"/>
              <w:left w:val="nil"/>
              <w:bottom w:val="nil"/>
              <w:right w:val="nil"/>
            </w:tcBorders>
            <w:shd w:val="clear" w:color="auto" w:fill="auto"/>
            <w:noWrap/>
            <w:vAlign w:val="center"/>
            <w:hideMark/>
          </w:tcPr>
          <w:p w14:paraId="57B2283E"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20.4</w:t>
            </w:r>
          </w:p>
        </w:tc>
        <w:tc>
          <w:tcPr>
            <w:tcW w:w="678" w:type="dxa"/>
            <w:tcBorders>
              <w:top w:val="nil"/>
              <w:left w:val="nil"/>
              <w:bottom w:val="nil"/>
              <w:right w:val="single" w:sz="8" w:space="0" w:color="auto"/>
            </w:tcBorders>
            <w:shd w:val="clear" w:color="auto" w:fill="auto"/>
            <w:noWrap/>
            <w:vAlign w:val="center"/>
            <w:hideMark/>
          </w:tcPr>
          <w:p w14:paraId="68BEBF9E"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39.8</w:t>
            </w:r>
          </w:p>
        </w:tc>
      </w:tr>
      <w:tr w:rsidR="00EF722F" w:rsidRPr="00EF722F" w14:paraId="345F5452" w14:textId="77777777" w:rsidTr="00F74BDC">
        <w:trPr>
          <w:trHeight w:val="218"/>
        </w:trPr>
        <w:tc>
          <w:tcPr>
            <w:tcW w:w="2150" w:type="dxa"/>
            <w:tcBorders>
              <w:top w:val="nil"/>
              <w:left w:val="nil"/>
              <w:bottom w:val="nil"/>
              <w:right w:val="nil"/>
            </w:tcBorders>
            <w:shd w:val="clear" w:color="auto" w:fill="auto"/>
            <w:noWrap/>
            <w:vAlign w:val="center"/>
            <w:hideMark/>
          </w:tcPr>
          <w:p w14:paraId="77DDD8CA"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SCR%</w:t>
            </w:r>
          </w:p>
        </w:tc>
        <w:tc>
          <w:tcPr>
            <w:tcW w:w="706" w:type="dxa"/>
            <w:tcBorders>
              <w:top w:val="nil"/>
              <w:left w:val="single" w:sz="8" w:space="0" w:color="auto"/>
              <w:bottom w:val="single" w:sz="8" w:space="0" w:color="auto"/>
              <w:right w:val="nil"/>
            </w:tcBorders>
            <w:shd w:val="clear" w:color="auto" w:fill="auto"/>
            <w:noWrap/>
            <w:vAlign w:val="center"/>
            <w:hideMark/>
          </w:tcPr>
          <w:p w14:paraId="14D2C5AE"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140%</w:t>
            </w:r>
          </w:p>
        </w:tc>
        <w:tc>
          <w:tcPr>
            <w:tcW w:w="706" w:type="dxa"/>
            <w:tcBorders>
              <w:top w:val="nil"/>
              <w:left w:val="nil"/>
              <w:bottom w:val="single" w:sz="8" w:space="0" w:color="auto"/>
              <w:right w:val="nil"/>
            </w:tcBorders>
            <w:shd w:val="clear" w:color="auto" w:fill="auto"/>
            <w:noWrap/>
            <w:vAlign w:val="center"/>
            <w:hideMark/>
          </w:tcPr>
          <w:p w14:paraId="74F66745"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180%</w:t>
            </w:r>
          </w:p>
        </w:tc>
        <w:tc>
          <w:tcPr>
            <w:tcW w:w="708" w:type="dxa"/>
            <w:tcBorders>
              <w:top w:val="nil"/>
              <w:left w:val="nil"/>
              <w:bottom w:val="single" w:sz="8" w:space="0" w:color="auto"/>
              <w:right w:val="single" w:sz="8" w:space="0" w:color="auto"/>
            </w:tcBorders>
            <w:shd w:val="clear" w:color="auto" w:fill="auto"/>
            <w:noWrap/>
            <w:vAlign w:val="center"/>
            <w:hideMark/>
          </w:tcPr>
          <w:p w14:paraId="2BE4B1B6"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n/a</w:t>
            </w:r>
          </w:p>
        </w:tc>
        <w:tc>
          <w:tcPr>
            <w:tcW w:w="706" w:type="dxa"/>
            <w:tcBorders>
              <w:top w:val="nil"/>
              <w:left w:val="nil"/>
              <w:bottom w:val="single" w:sz="8" w:space="0" w:color="auto"/>
              <w:right w:val="nil"/>
            </w:tcBorders>
            <w:shd w:val="clear" w:color="auto" w:fill="auto"/>
            <w:noWrap/>
            <w:vAlign w:val="center"/>
            <w:hideMark/>
          </w:tcPr>
          <w:p w14:paraId="7F825F77"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152%</w:t>
            </w:r>
          </w:p>
        </w:tc>
        <w:tc>
          <w:tcPr>
            <w:tcW w:w="706" w:type="dxa"/>
            <w:tcBorders>
              <w:top w:val="nil"/>
              <w:left w:val="nil"/>
              <w:bottom w:val="single" w:sz="8" w:space="0" w:color="auto"/>
              <w:right w:val="nil"/>
            </w:tcBorders>
            <w:shd w:val="clear" w:color="auto" w:fill="auto"/>
            <w:noWrap/>
            <w:vAlign w:val="center"/>
            <w:hideMark/>
          </w:tcPr>
          <w:p w14:paraId="47955BF4"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288%</w:t>
            </w:r>
          </w:p>
        </w:tc>
        <w:tc>
          <w:tcPr>
            <w:tcW w:w="709" w:type="dxa"/>
            <w:tcBorders>
              <w:top w:val="nil"/>
              <w:left w:val="nil"/>
              <w:bottom w:val="single" w:sz="8" w:space="0" w:color="auto"/>
              <w:right w:val="single" w:sz="8" w:space="0" w:color="auto"/>
            </w:tcBorders>
            <w:shd w:val="clear" w:color="auto" w:fill="auto"/>
            <w:noWrap/>
            <w:vAlign w:val="center"/>
            <w:hideMark/>
          </w:tcPr>
          <w:p w14:paraId="47F58611"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148%</w:t>
            </w:r>
          </w:p>
        </w:tc>
        <w:tc>
          <w:tcPr>
            <w:tcW w:w="677" w:type="dxa"/>
            <w:tcBorders>
              <w:top w:val="nil"/>
              <w:left w:val="nil"/>
              <w:bottom w:val="single" w:sz="8" w:space="0" w:color="auto"/>
              <w:right w:val="nil"/>
            </w:tcBorders>
            <w:shd w:val="clear" w:color="auto" w:fill="auto"/>
            <w:noWrap/>
            <w:vAlign w:val="center"/>
            <w:hideMark/>
          </w:tcPr>
          <w:p w14:paraId="31251FA1"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143%</w:t>
            </w:r>
          </w:p>
        </w:tc>
        <w:tc>
          <w:tcPr>
            <w:tcW w:w="677" w:type="dxa"/>
            <w:tcBorders>
              <w:top w:val="nil"/>
              <w:left w:val="nil"/>
              <w:bottom w:val="single" w:sz="8" w:space="0" w:color="auto"/>
              <w:right w:val="nil"/>
            </w:tcBorders>
            <w:shd w:val="clear" w:color="auto" w:fill="auto"/>
            <w:noWrap/>
            <w:vAlign w:val="center"/>
            <w:hideMark/>
          </w:tcPr>
          <w:p w14:paraId="783B3B14"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180%</w:t>
            </w:r>
          </w:p>
        </w:tc>
        <w:tc>
          <w:tcPr>
            <w:tcW w:w="678" w:type="dxa"/>
            <w:tcBorders>
              <w:top w:val="nil"/>
              <w:left w:val="nil"/>
              <w:bottom w:val="single" w:sz="8" w:space="0" w:color="auto"/>
              <w:right w:val="single" w:sz="8" w:space="0" w:color="auto"/>
            </w:tcBorders>
            <w:shd w:val="clear" w:color="auto" w:fill="auto"/>
            <w:noWrap/>
            <w:vAlign w:val="center"/>
            <w:hideMark/>
          </w:tcPr>
          <w:p w14:paraId="13565512"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n/a</w:t>
            </w:r>
          </w:p>
        </w:tc>
        <w:tc>
          <w:tcPr>
            <w:tcW w:w="677" w:type="dxa"/>
            <w:tcBorders>
              <w:top w:val="nil"/>
              <w:left w:val="nil"/>
              <w:bottom w:val="single" w:sz="8" w:space="0" w:color="auto"/>
              <w:right w:val="nil"/>
            </w:tcBorders>
            <w:shd w:val="clear" w:color="auto" w:fill="auto"/>
            <w:noWrap/>
            <w:vAlign w:val="center"/>
            <w:hideMark/>
          </w:tcPr>
          <w:p w14:paraId="720A4F1B"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172%</w:t>
            </w:r>
          </w:p>
        </w:tc>
        <w:tc>
          <w:tcPr>
            <w:tcW w:w="677" w:type="dxa"/>
            <w:tcBorders>
              <w:top w:val="nil"/>
              <w:left w:val="nil"/>
              <w:bottom w:val="single" w:sz="8" w:space="0" w:color="auto"/>
              <w:right w:val="nil"/>
            </w:tcBorders>
            <w:shd w:val="clear" w:color="auto" w:fill="auto"/>
            <w:noWrap/>
            <w:vAlign w:val="center"/>
            <w:hideMark/>
          </w:tcPr>
          <w:p w14:paraId="1089A829"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224%</w:t>
            </w:r>
          </w:p>
        </w:tc>
        <w:tc>
          <w:tcPr>
            <w:tcW w:w="678" w:type="dxa"/>
            <w:tcBorders>
              <w:top w:val="nil"/>
              <w:left w:val="nil"/>
              <w:bottom w:val="single" w:sz="8" w:space="0" w:color="auto"/>
              <w:right w:val="single" w:sz="8" w:space="0" w:color="auto"/>
            </w:tcBorders>
            <w:shd w:val="clear" w:color="auto" w:fill="auto"/>
            <w:noWrap/>
            <w:vAlign w:val="center"/>
            <w:hideMark/>
          </w:tcPr>
          <w:p w14:paraId="0C04EF5C"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157%</w:t>
            </w:r>
          </w:p>
        </w:tc>
      </w:tr>
      <w:tr w:rsidR="00EF722F" w:rsidRPr="00EF722F" w14:paraId="6252FED1" w14:textId="77777777" w:rsidTr="00F74BDC">
        <w:trPr>
          <w:trHeight w:val="540"/>
        </w:trPr>
        <w:tc>
          <w:tcPr>
            <w:tcW w:w="2150" w:type="dxa"/>
            <w:tcBorders>
              <w:top w:val="nil"/>
              <w:left w:val="nil"/>
              <w:bottom w:val="nil"/>
              <w:right w:val="nil"/>
            </w:tcBorders>
            <w:shd w:val="clear" w:color="auto" w:fill="auto"/>
            <w:noWrap/>
            <w:vAlign w:val="center"/>
            <w:hideMark/>
          </w:tcPr>
          <w:p w14:paraId="48329499"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p>
        </w:tc>
        <w:tc>
          <w:tcPr>
            <w:tcW w:w="2120" w:type="dxa"/>
            <w:gridSpan w:val="3"/>
            <w:tcBorders>
              <w:top w:val="single" w:sz="8" w:space="0" w:color="auto"/>
              <w:left w:val="single" w:sz="8" w:space="0" w:color="auto"/>
              <w:bottom w:val="nil"/>
              <w:right w:val="single" w:sz="8" w:space="0" w:color="000000"/>
            </w:tcBorders>
            <w:shd w:val="clear" w:color="000000" w:fill="B4C6E7"/>
            <w:vAlign w:val="center"/>
            <w:hideMark/>
          </w:tcPr>
          <w:p w14:paraId="577B7E02" w14:textId="77777777" w:rsidR="00EF722F" w:rsidRPr="00ED58A9" w:rsidRDefault="00EF722F" w:rsidP="00EF722F">
            <w:pPr>
              <w:spacing w:after="0" w:line="240" w:lineRule="auto"/>
              <w:jc w:val="center"/>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Pre-transfer (as at 2</w:t>
            </w:r>
            <w:r w:rsidRPr="00ED58A9">
              <w:rPr>
                <w:rFonts w:ascii="Trebuchet MS" w:eastAsia="Times New Roman" w:hAnsi="Trebuchet MS" w:cs="Calibri"/>
                <w:b/>
                <w:bCs/>
                <w:color w:val="000000"/>
                <w:sz w:val="16"/>
                <w:szCs w:val="16"/>
                <w:lang w:eastAsia="en-GB"/>
              </w:rPr>
              <w:t>Q20</w:t>
            </w:r>
            <w:r w:rsidRPr="00ED58A9">
              <w:rPr>
                <w:rFonts w:ascii="Trebuchet MS" w:eastAsia="Times New Roman" w:hAnsi="Trebuchet MS" w:cs="Calibri"/>
                <w:color w:val="000000"/>
                <w:sz w:val="16"/>
                <w:szCs w:val="16"/>
                <w:lang w:eastAsia="en-GB"/>
              </w:rPr>
              <w:t>) With impact of COVID-19</w:t>
            </w:r>
          </w:p>
        </w:tc>
        <w:tc>
          <w:tcPr>
            <w:tcW w:w="2121" w:type="dxa"/>
            <w:gridSpan w:val="3"/>
            <w:tcBorders>
              <w:top w:val="single" w:sz="8" w:space="0" w:color="auto"/>
              <w:left w:val="nil"/>
              <w:bottom w:val="nil"/>
              <w:right w:val="single" w:sz="8" w:space="0" w:color="000000"/>
            </w:tcBorders>
            <w:shd w:val="clear" w:color="000000" w:fill="B4C6E7"/>
            <w:vAlign w:val="center"/>
            <w:hideMark/>
          </w:tcPr>
          <w:p w14:paraId="379DF70E" w14:textId="77777777" w:rsidR="00EF722F" w:rsidRPr="00ED58A9" w:rsidRDefault="00EF722F" w:rsidP="00EF722F">
            <w:pPr>
              <w:spacing w:after="0" w:line="240" w:lineRule="auto"/>
              <w:jc w:val="center"/>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Post transfer (as at 2</w:t>
            </w:r>
            <w:r w:rsidRPr="00ED58A9">
              <w:rPr>
                <w:rFonts w:ascii="Trebuchet MS" w:eastAsia="Times New Roman" w:hAnsi="Trebuchet MS" w:cs="Calibri"/>
                <w:b/>
                <w:bCs/>
                <w:color w:val="000000"/>
                <w:sz w:val="16"/>
                <w:szCs w:val="16"/>
                <w:lang w:eastAsia="en-GB"/>
              </w:rPr>
              <w:t>Q20</w:t>
            </w:r>
            <w:r w:rsidRPr="00ED58A9">
              <w:rPr>
                <w:rFonts w:ascii="Trebuchet MS" w:eastAsia="Times New Roman" w:hAnsi="Trebuchet MS" w:cs="Calibri"/>
                <w:color w:val="000000"/>
                <w:sz w:val="16"/>
                <w:szCs w:val="16"/>
                <w:lang w:eastAsia="en-GB"/>
              </w:rPr>
              <w:t xml:space="preserve"> + impact of Transfer) With impact of COVID-19</w:t>
            </w:r>
          </w:p>
        </w:tc>
        <w:tc>
          <w:tcPr>
            <w:tcW w:w="2032" w:type="dxa"/>
            <w:gridSpan w:val="3"/>
            <w:tcBorders>
              <w:top w:val="single" w:sz="8" w:space="0" w:color="auto"/>
              <w:left w:val="nil"/>
              <w:bottom w:val="nil"/>
              <w:right w:val="single" w:sz="8" w:space="0" w:color="000000"/>
            </w:tcBorders>
            <w:shd w:val="clear" w:color="000000" w:fill="C6E0B4"/>
            <w:vAlign w:val="center"/>
            <w:hideMark/>
          </w:tcPr>
          <w:p w14:paraId="421BB63E" w14:textId="77777777" w:rsidR="00EF722F" w:rsidRPr="00ED58A9" w:rsidRDefault="00EF722F" w:rsidP="00EF722F">
            <w:pPr>
              <w:spacing w:after="0" w:line="240" w:lineRule="auto"/>
              <w:jc w:val="center"/>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Pre-transfer (as at 2</w:t>
            </w:r>
            <w:r w:rsidRPr="00ED58A9">
              <w:rPr>
                <w:rFonts w:ascii="Trebuchet MS" w:eastAsia="Times New Roman" w:hAnsi="Trebuchet MS" w:cs="Calibri"/>
                <w:b/>
                <w:bCs/>
                <w:color w:val="000000"/>
                <w:sz w:val="16"/>
                <w:szCs w:val="16"/>
                <w:lang w:eastAsia="en-GB"/>
              </w:rPr>
              <w:t>Q20</w:t>
            </w:r>
            <w:r w:rsidRPr="00ED58A9">
              <w:rPr>
                <w:rFonts w:ascii="Trebuchet MS" w:eastAsia="Times New Roman" w:hAnsi="Trebuchet MS" w:cs="Calibri"/>
                <w:color w:val="000000"/>
                <w:sz w:val="16"/>
                <w:szCs w:val="16"/>
                <w:lang w:eastAsia="en-GB"/>
              </w:rPr>
              <w:t>) With impact of COVID-19</w:t>
            </w:r>
          </w:p>
        </w:tc>
        <w:tc>
          <w:tcPr>
            <w:tcW w:w="2032" w:type="dxa"/>
            <w:gridSpan w:val="3"/>
            <w:tcBorders>
              <w:top w:val="single" w:sz="8" w:space="0" w:color="auto"/>
              <w:left w:val="nil"/>
              <w:bottom w:val="nil"/>
              <w:right w:val="single" w:sz="8" w:space="0" w:color="000000"/>
            </w:tcBorders>
            <w:shd w:val="clear" w:color="000000" w:fill="C6E0B4"/>
            <w:vAlign w:val="center"/>
            <w:hideMark/>
          </w:tcPr>
          <w:p w14:paraId="3C2B406A" w14:textId="77777777" w:rsidR="00EF722F" w:rsidRPr="00ED58A9" w:rsidRDefault="00EF722F" w:rsidP="00EF722F">
            <w:pPr>
              <w:spacing w:after="0" w:line="240" w:lineRule="auto"/>
              <w:jc w:val="center"/>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Post transfer (as at 2</w:t>
            </w:r>
            <w:r w:rsidRPr="00ED58A9">
              <w:rPr>
                <w:rFonts w:ascii="Trebuchet MS" w:eastAsia="Times New Roman" w:hAnsi="Trebuchet MS" w:cs="Calibri"/>
                <w:b/>
                <w:bCs/>
                <w:color w:val="000000"/>
                <w:sz w:val="16"/>
                <w:szCs w:val="16"/>
                <w:lang w:eastAsia="en-GB"/>
              </w:rPr>
              <w:t>Q20</w:t>
            </w:r>
            <w:r w:rsidRPr="00ED58A9">
              <w:rPr>
                <w:rFonts w:ascii="Trebuchet MS" w:eastAsia="Times New Roman" w:hAnsi="Trebuchet MS" w:cs="Calibri"/>
                <w:color w:val="000000"/>
                <w:sz w:val="16"/>
                <w:szCs w:val="16"/>
                <w:lang w:eastAsia="en-GB"/>
              </w:rPr>
              <w:t xml:space="preserve"> + impact of Transfer) With impact of COVID-19</w:t>
            </w:r>
          </w:p>
        </w:tc>
      </w:tr>
      <w:tr w:rsidR="00EF722F" w:rsidRPr="00EF722F" w14:paraId="2C54F076" w14:textId="77777777" w:rsidTr="00F74BDC">
        <w:trPr>
          <w:trHeight w:val="577"/>
        </w:trPr>
        <w:tc>
          <w:tcPr>
            <w:tcW w:w="2150" w:type="dxa"/>
            <w:tcBorders>
              <w:top w:val="nil"/>
              <w:left w:val="nil"/>
              <w:bottom w:val="nil"/>
              <w:right w:val="nil"/>
            </w:tcBorders>
            <w:shd w:val="clear" w:color="auto" w:fill="auto"/>
            <w:noWrap/>
            <w:vAlign w:val="center"/>
            <w:hideMark/>
          </w:tcPr>
          <w:p w14:paraId="25068FBD"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Eligible Own Funds</w:t>
            </w:r>
          </w:p>
        </w:tc>
        <w:tc>
          <w:tcPr>
            <w:tcW w:w="706" w:type="dxa"/>
            <w:tcBorders>
              <w:top w:val="nil"/>
              <w:left w:val="single" w:sz="8" w:space="0" w:color="auto"/>
              <w:bottom w:val="nil"/>
              <w:right w:val="nil"/>
            </w:tcBorders>
            <w:shd w:val="clear" w:color="auto" w:fill="auto"/>
            <w:noWrap/>
            <w:vAlign w:val="center"/>
            <w:hideMark/>
          </w:tcPr>
          <w:p w14:paraId="07C50A26"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N/A</w:t>
            </w:r>
          </w:p>
        </w:tc>
        <w:tc>
          <w:tcPr>
            <w:tcW w:w="706" w:type="dxa"/>
            <w:tcBorders>
              <w:top w:val="nil"/>
              <w:left w:val="nil"/>
              <w:bottom w:val="nil"/>
              <w:right w:val="nil"/>
            </w:tcBorders>
            <w:shd w:val="clear" w:color="auto" w:fill="auto"/>
            <w:noWrap/>
            <w:vAlign w:val="center"/>
            <w:hideMark/>
          </w:tcPr>
          <w:p w14:paraId="2D230808"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N/A</w:t>
            </w:r>
          </w:p>
        </w:tc>
        <w:tc>
          <w:tcPr>
            <w:tcW w:w="708" w:type="dxa"/>
            <w:tcBorders>
              <w:top w:val="nil"/>
              <w:left w:val="nil"/>
              <w:bottom w:val="nil"/>
              <w:right w:val="single" w:sz="8" w:space="0" w:color="auto"/>
            </w:tcBorders>
            <w:shd w:val="clear" w:color="auto" w:fill="auto"/>
            <w:noWrap/>
            <w:vAlign w:val="center"/>
            <w:hideMark/>
          </w:tcPr>
          <w:p w14:paraId="33F7E589"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N/A</w:t>
            </w:r>
          </w:p>
        </w:tc>
        <w:tc>
          <w:tcPr>
            <w:tcW w:w="706" w:type="dxa"/>
            <w:tcBorders>
              <w:top w:val="nil"/>
              <w:left w:val="nil"/>
              <w:bottom w:val="nil"/>
              <w:right w:val="nil"/>
            </w:tcBorders>
            <w:shd w:val="clear" w:color="auto" w:fill="auto"/>
            <w:noWrap/>
            <w:vAlign w:val="center"/>
            <w:hideMark/>
          </w:tcPr>
          <w:p w14:paraId="482D8F50"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N/A</w:t>
            </w:r>
          </w:p>
        </w:tc>
        <w:tc>
          <w:tcPr>
            <w:tcW w:w="706" w:type="dxa"/>
            <w:tcBorders>
              <w:top w:val="nil"/>
              <w:left w:val="nil"/>
              <w:bottom w:val="nil"/>
              <w:right w:val="nil"/>
            </w:tcBorders>
            <w:shd w:val="clear" w:color="auto" w:fill="auto"/>
            <w:noWrap/>
            <w:vAlign w:val="center"/>
            <w:hideMark/>
          </w:tcPr>
          <w:p w14:paraId="16DFC209"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N/A</w:t>
            </w:r>
          </w:p>
        </w:tc>
        <w:tc>
          <w:tcPr>
            <w:tcW w:w="709" w:type="dxa"/>
            <w:tcBorders>
              <w:top w:val="nil"/>
              <w:left w:val="nil"/>
              <w:bottom w:val="nil"/>
              <w:right w:val="single" w:sz="8" w:space="0" w:color="auto"/>
            </w:tcBorders>
            <w:shd w:val="clear" w:color="auto" w:fill="auto"/>
            <w:noWrap/>
            <w:vAlign w:val="center"/>
            <w:hideMark/>
          </w:tcPr>
          <w:p w14:paraId="2123A22C"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N/A</w:t>
            </w:r>
          </w:p>
        </w:tc>
        <w:tc>
          <w:tcPr>
            <w:tcW w:w="677" w:type="dxa"/>
            <w:tcBorders>
              <w:top w:val="nil"/>
              <w:left w:val="nil"/>
              <w:bottom w:val="nil"/>
              <w:right w:val="nil"/>
            </w:tcBorders>
            <w:shd w:val="clear" w:color="auto" w:fill="auto"/>
            <w:noWrap/>
            <w:vAlign w:val="center"/>
            <w:hideMark/>
          </w:tcPr>
          <w:p w14:paraId="6F112FB9"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97.4</w:t>
            </w:r>
          </w:p>
        </w:tc>
        <w:tc>
          <w:tcPr>
            <w:tcW w:w="677" w:type="dxa"/>
            <w:tcBorders>
              <w:top w:val="nil"/>
              <w:left w:val="nil"/>
              <w:bottom w:val="nil"/>
              <w:right w:val="nil"/>
            </w:tcBorders>
            <w:shd w:val="clear" w:color="auto" w:fill="auto"/>
            <w:noWrap/>
            <w:vAlign w:val="center"/>
            <w:hideMark/>
          </w:tcPr>
          <w:p w14:paraId="0160BFD3"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82.3</w:t>
            </w:r>
          </w:p>
        </w:tc>
        <w:tc>
          <w:tcPr>
            <w:tcW w:w="678" w:type="dxa"/>
            <w:tcBorders>
              <w:top w:val="nil"/>
              <w:left w:val="nil"/>
              <w:bottom w:val="nil"/>
              <w:right w:val="single" w:sz="8" w:space="0" w:color="auto"/>
            </w:tcBorders>
            <w:shd w:val="clear" w:color="auto" w:fill="auto"/>
            <w:noWrap/>
            <w:vAlign w:val="center"/>
            <w:hideMark/>
          </w:tcPr>
          <w:p w14:paraId="77ABBF9D"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36.2</w:t>
            </w:r>
          </w:p>
        </w:tc>
        <w:tc>
          <w:tcPr>
            <w:tcW w:w="677" w:type="dxa"/>
            <w:tcBorders>
              <w:top w:val="nil"/>
              <w:left w:val="nil"/>
              <w:bottom w:val="nil"/>
              <w:right w:val="nil"/>
            </w:tcBorders>
            <w:shd w:val="clear" w:color="auto" w:fill="auto"/>
            <w:noWrap/>
            <w:vAlign w:val="center"/>
            <w:hideMark/>
          </w:tcPr>
          <w:p w14:paraId="12E2F28F"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105.3</w:t>
            </w:r>
          </w:p>
        </w:tc>
        <w:tc>
          <w:tcPr>
            <w:tcW w:w="677" w:type="dxa"/>
            <w:tcBorders>
              <w:top w:val="nil"/>
              <w:left w:val="nil"/>
              <w:bottom w:val="nil"/>
              <w:right w:val="nil"/>
            </w:tcBorders>
            <w:shd w:val="clear" w:color="auto" w:fill="auto"/>
            <w:noWrap/>
            <w:vAlign w:val="center"/>
            <w:hideMark/>
          </w:tcPr>
          <w:p w14:paraId="27801505"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48.5</w:t>
            </w:r>
          </w:p>
        </w:tc>
        <w:tc>
          <w:tcPr>
            <w:tcW w:w="678" w:type="dxa"/>
            <w:tcBorders>
              <w:top w:val="nil"/>
              <w:left w:val="nil"/>
              <w:bottom w:val="nil"/>
              <w:right w:val="single" w:sz="8" w:space="0" w:color="auto"/>
            </w:tcBorders>
            <w:shd w:val="clear" w:color="auto" w:fill="auto"/>
            <w:noWrap/>
            <w:vAlign w:val="center"/>
            <w:hideMark/>
          </w:tcPr>
          <w:p w14:paraId="77B315B6"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63.3</w:t>
            </w:r>
          </w:p>
        </w:tc>
      </w:tr>
      <w:tr w:rsidR="00EF722F" w:rsidRPr="00EF722F" w14:paraId="00AD7A37" w14:textId="77777777" w:rsidTr="00F74BDC">
        <w:trPr>
          <w:trHeight w:val="210"/>
        </w:trPr>
        <w:tc>
          <w:tcPr>
            <w:tcW w:w="2150" w:type="dxa"/>
            <w:tcBorders>
              <w:top w:val="nil"/>
              <w:left w:val="nil"/>
              <w:bottom w:val="nil"/>
              <w:right w:val="nil"/>
            </w:tcBorders>
            <w:shd w:val="clear" w:color="auto" w:fill="auto"/>
            <w:noWrap/>
            <w:vAlign w:val="center"/>
            <w:hideMark/>
          </w:tcPr>
          <w:p w14:paraId="5199B6C2"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Regulatory SCR</w:t>
            </w:r>
          </w:p>
        </w:tc>
        <w:tc>
          <w:tcPr>
            <w:tcW w:w="706" w:type="dxa"/>
            <w:tcBorders>
              <w:top w:val="nil"/>
              <w:left w:val="single" w:sz="8" w:space="0" w:color="auto"/>
              <w:bottom w:val="nil"/>
              <w:right w:val="nil"/>
            </w:tcBorders>
            <w:shd w:val="clear" w:color="auto" w:fill="auto"/>
            <w:noWrap/>
            <w:vAlign w:val="center"/>
            <w:hideMark/>
          </w:tcPr>
          <w:p w14:paraId="11050CCB"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N/A</w:t>
            </w:r>
          </w:p>
        </w:tc>
        <w:tc>
          <w:tcPr>
            <w:tcW w:w="706" w:type="dxa"/>
            <w:tcBorders>
              <w:top w:val="nil"/>
              <w:left w:val="nil"/>
              <w:bottom w:val="nil"/>
              <w:right w:val="nil"/>
            </w:tcBorders>
            <w:shd w:val="clear" w:color="auto" w:fill="auto"/>
            <w:noWrap/>
            <w:vAlign w:val="center"/>
            <w:hideMark/>
          </w:tcPr>
          <w:p w14:paraId="09C872D5"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N/A</w:t>
            </w:r>
          </w:p>
        </w:tc>
        <w:tc>
          <w:tcPr>
            <w:tcW w:w="708" w:type="dxa"/>
            <w:tcBorders>
              <w:top w:val="nil"/>
              <w:left w:val="nil"/>
              <w:bottom w:val="nil"/>
              <w:right w:val="single" w:sz="8" w:space="0" w:color="auto"/>
            </w:tcBorders>
            <w:shd w:val="clear" w:color="auto" w:fill="auto"/>
            <w:noWrap/>
            <w:vAlign w:val="center"/>
            <w:hideMark/>
          </w:tcPr>
          <w:p w14:paraId="69EA19DC"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N/A</w:t>
            </w:r>
          </w:p>
        </w:tc>
        <w:tc>
          <w:tcPr>
            <w:tcW w:w="706" w:type="dxa"/>
            <w:tcBorders>
              <w:top w:val="nil"/>
              <w:left w:val="nil"/>
              <w:bottom w:val="nil"/>
              <w:right w:val="nil"/>
            </w:tcBorders>
            <w:shd w:val="clear" w:color="auto" w:fill="auto"/>
            <w:noWrap/>
            <w:vAlign w:val="center"/>
            <w:hideMark/>
          </w:tcPr>
          <w:p w14:paraId="54EF0DDF"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N/A</w:t>
            </w:r>
          </w:p>
        </w:tc>
        <w:tc>
          <w:tcPr>
            <w:tcW w:w="706" w:type="dxa"/>
            <w:tcBorders>
              <w:top w:val="nil"/>
              <w:left w:val="nil"/>
              <w:bottom w:val="nil"/>
              <w:right w:val="nil"/>
            </w:tcBorders>
            <w:shd w:val="clear" w:color="auto" w:fill="auto"/>
            <w:noWrap/>
            <w:vAlign w:val="center"/>
            <w:hideMark/>
          </w:tcPr>
          <w:p w14:paraId="71F41500"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N/A</w:t>
            </w:r>
          </w:p>
        </w:tc>
        <w:tc>
          <w:tcPr>
            <w:tcW w:w="709" w:type="dxa"/>
            <w:tcBorders>
              <w:top w:val="nil"/>
              <w:left w:val="nil"/>
              <w:bottom w:val="nil"/>
              <w:right w:val="single" w:sz="8" w:space="0" w:color="auto"/>
            </w:tcBorders>
            <w:shd w:val="clear" w:color="auto" w:fill="auto"/>
            <w:noWrap/>
            <w:vAlign w:val="center"/>
            <w:hideMark/>
          </w:tcPr>
          <w:p w14:paraId="3BD69DE8"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N/A</w:t>
            </w:r>
          </w:p>
        </w:tc>
        <w:tc>
          <w:tcPr>
            <w:tcW w:w="677" w:type="dxa"/>
            <w:tcBorders>
              <w:top w:val="nil"/>
              <w:left w:val="nil"/>
              <w:bottom w:val="nil"/>
              <w:right w:val="nil"/>
            </w:tcBorders>
            <w:shd w:val="clear" w:color="auto" w:fill="auto"/>
            <w:noWrap/>
            <w:vAlign w:val="center"/>
            <w:hideMark/>
          </w:tcPr>
          <w:p w14:paraId="33749F54"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63.3</w:t>
            </w:r>
          </w:p>
        </w:tc>
        <w:tc>
          <w:tcPr>
            <w:tcW w:w="677" w:type="dxa"/>
            <w:tcBorders>
              <w:top w:val="nil"/>
              <w:left w:val="nil"/>
              <w:bottom w:val="nil"/>
              <w:right w:val="nil"/>
            </w:tcBorders>
            <w:shd w:val="clear" w:color="auto" w:fill="auto"/>
            <w:noWrap/>
            <w:vAlign w:val="center"/>
            <w:hideMark/>
          </w:tcPr>
          <w:p w14:paraId="1C112F63"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41.8</w:t>
            </w:r>
          </w:p>
        </w:tc>
        <w:tc>
          <w:tcPr>
            <w:tcW w:w="678" w:type="dxa"/>
            <w:tcBorders>
              <w:top w:val="nil"/>
              <w:left w:val="nil"/>
              <w:bottom w:val="nil"/>
              <w:right w:val="single" w:sz="8" w:space="0" w:color="auto"/>
            </w:tcBorders>
            <w:shd w:val="clear" w:color="auto" w:fill="auto"/>
            <w:noWrap/>
            <w:vAlign w:val="center"/>
            <w:hideMark/>
          </w:tcPr>
          <w:p w14:paraId="5A53A295"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7.8</w:t>
            </w:r>
          </w:p>
        </w:tc>
        <w:tc>
          <w:tcPr>
            <w:tcW w:w="677" w:type="dxa"/>
            <w:tcBorders>
              <w:top w:val="nil"/>
              <w:left w:val="nil"/>
              <w:bottom w:val="nil"/>
              <w:right w:val="nil"/>
            </w:tcBorders>
            <w:shd w:val="clear" w:color="auto" w:fill="auto"/>
            <w:noWrap/>
            <w:vAlign w:val="center"/>
            <w:hideMark/>
          </w:tcPr>
          <w:p w14:paraId="5591221E"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52.0</w:t>
            </w:r>
          </w:p>
        </w:tc>
        <w:tc>
          <w:tcPr>
            <w:tcW w:w="677" w:type="dxa"/>
            <w:tcBorders>
              <w:top w:val="nil"/>
              <w:left w:val="nil"/>
              <w:bottom w:val="nil"/>
              <w:right w:val="nil"/>
            </w:tcBorders>
            <w:shd w:val="clear" w:color="auto" w:fill="auto"/>
            <w:noWrap/>
            <w:vAlign w:val="center"/>
            <w:hideMark/>
          </w:tcPr>
          <w:p w14:paraId="3BD6B9A2"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19.2</w:t>
            </w:r>
          </w:p>
        </w:tc>
        <w:tc>
          <w:tcPr>
            <w:tcW w:w="678" w:type="dxa"/>
            <w:tcBorders>
              <w:top w:val="nil"/>
              <w:left w:val="nil"/>
              <w:bottom w:val="nil"/>
              <w:right w:val="single" w:sz="8" w:space="0" w:color="auto"/>
            </w:tcBorders>
            <w:shd w:val="clear" w:color="auto" w:fill="auto"/>
            <w:noWrap/>
            <w:vAlign w:val="center"/>
            <w:hideMark/>
          </w:tcPr>
          <w:p w14:paraId="379C426F"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39.8</w:t>
            </w:r>
          </w:p>
        </w:tc>
      </w:tr>
      <w:tr w:rsidR="00EF722F" w:rsidRPr="00EF722F" w14:paraId="2F7264D0" w14:textId="77777777" w:rsidTr="00F74BDC">
        <w:trPr>
          <w:trHeight w:val="218"/>
        </w:trPr>
        <w:tc>
          <w:tcPr>
            <w:tcW w:w="2150" w:type="dxa"/>
            <w:tcBorders>
              <w:top w:val="nil"/>
              <w:left w:val="nil"/>
              <w:bottom w:val="nil"/>
              <w:right w:val="nil"/>
            </w:tcBorders>
            <w:shd w:val="clear" w:color="auto" w:fill="auto"/>
            <w:noWrap/>
            <w:vAlign w:val="center"/>
            <w:hideMark/>
          </w:tcPr>
          <w:p w14:paraId="1A3633F3"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SCR%</w:t>
            </w:r>
          </w:p>
        </w:tc>
        <w:tc>
          <w:tcPr>
            <w:tcW w:w="706" w:type="dxa"/>
            <w:tcBorders>
              <w:top w:val="nil"/>
              <w:left w:val="single" w:sz="8" w:space="0" w:color="auto"/>
              <w:bottom w:val="single" w:sz="8" w:space="0" w:color="auto"/>
              <w:right w:val="nil"/>
            </w:tcBorders>
            <w:shd w:val="clear" w:color="auto" w:fill="auto"/>
            <w:noWrap/>
            <w:vAlign w:val="center"/>
            <w:hideMark/>
          </w:tcPr>
          <w:p w14:paraId="2C73ABF3"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N/A</w:t>
            </w:r>
          </w:p>
        </w:tc>
        <w:tc>
          <w:tcPr>
            <w:tcW w:w="706" w:type="dxa"/>
            <w:tcBorders>
              <w:top w:val="nil"/>
              <w:left w:val="nil"/>
              <w:bottom w:val="single" w:sz="8" w:space="0" w:color="auto"/>
              <w:right w:val="nil"/>
            </w:tcBorders>
            <w:shd w:val="clear" w:color="auto" w:fill="auto"/>
            <w:noWrap/>
            <w:vAlign w:val="center"/>
            <w:hideMark/>
          </w:tcPr>
          <w:p w14:paraId="6C9850DE"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N/A</w:t>
            </w:r>
          </w:p>
        </w:tc>
        <w:tc>
          <w:tcPr>
            <w:tcW w:w="708" w:type="dxa"/>
            <w:tcBorders>
              <w:top w:val="nil"/>
              <w:left w:val="nil"/>
              <w:bottom w:val="single" w:sz="8" w:space="0" w:color="auto"/>
              <w:right w:val="single" w:sz="8" w:space="0" w:color="auto"/>
            </w:tcBorders>
            <w:shd w:val="clear" w:color="auto" w:fill="auto"/>
            <w:noWrap/>
            <w:vAlign w:val="center"/>
            <w:hideMark/>
          </w:tcPr>
          <w:p w14:paraId="2A635710"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N/A</w:t>
            </w:r>
          </w:p>
        </w:tc>
        <w:tc>
          <w:tcPr>
            <w:tcW w:w="706" w:type="dxa"/>
            <w:tcBorders>
              <w:top w:val="nil"/>
              <w:left w:val="nil"/>
              <w:bottom w:val="single" w:sz="8" w:space="0" w:color="auto"/>
              <w:right w:val="nil"/>
            </w:tcBorders>
            <w:shd w:val="clear" w:color="auto" w:fill="auto"/>
            <w:noWrap/>
            <w:vAlign w:val="center"/>
            <w:hideMark/>
          </w:tcPr>
          <w:p w14:paraId="400FCD2A"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N/A</w:t>
            </w:r>
          </w:p>
        </w:tc>
        <w:tc>
          <w:tcPr>
            <w:tcW w:w="706" w:type="dxa"/>
            <w:tcBorders>
              <w:top w:val="nil"/>
              <w:left w:val="nil"/>
              <w:bottom w:val="single" w:sz="8" w:space="0" w:color="auto"/>
              <w:right w:val="nil"/>
            </w:tcBorders>
            <w:shd w:val="clear" w:color="auto" w:fill="auto"/>
            <w:noWrap/>
            <w:vAlign w:val="center"/>
            <w:hideMark/>
          </w:tcPr>
          <w:p w14:paraId="393EA19F"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N/A</w:t>
            </w:r>
          </w:p>
        </w:tc>
        <w:tc>
          <w:tcPr>
            <w:tcW w:w="709" w:type="dxa"/>
            <w:tcBorders>
              <w:top w:val="nil"/>
              <w:left w:val="nil"/>
              <w:bottom w:val="single" w:sz="8" w:space="0" w:color="auto"/>
              <w:right w:val="single" w:sz="8" w:space="0" w:color="auto"/>
            </w:tcBorders>
            <w:shd w:val="clear" w:color="auto" w:fill="auto"/>
            <w:noWrap/>
            <w:vAlign w:val="center"/>
            <w:hideMark/>
          </w:tcPr>
          <w:p w14:paraId="32CB10AD"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N/A</w:t>
            </w:r>
          </w:p>
        </w:tc>
        <w:tc>
          <w:tcPr>
            <w:tcW w:w="677" w:type="dxa"/>
            <w:tcBorders>
              <w:top w:val="nil"/>
              <w:left w:val="nil"/>
              <w:bottom w:val="single" w:sz="8" w:space="0" w:color="auto"/>
              <w:right w:val="nil"/>
            </w:tcBorders>
            <w:shd w:val="clear" w:color="auto" w:fill="auto"/>
            <w:noWrap/>
            <w:vAlign w:val="center"/>
            <w:hideMark/>
          </w:tcPr>
          <w:p w14:paraId="334B945D"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154%</w:t>
            </w:r>
          </w:p>
        </w:tc>
        <w:tc>
          <w:tcPr>
            <w:tcW w:w="677" w:type="dxa"/>
            <w:tcBorders>
              <w:top w:val="nil"/>
              <w:left w:val="nil"/>
              <w:bottom w:val="single" w:sz="8" w:space="0" w:color="auto"/>
              <w:right w:val="nil"/>
            </w:tcBorders>
            <w:shd w:val="clear" w:color="auto" w:fill="auto"/>
            <w:noWrap/>
            <w:vAlign w:val="center"/>
            <w:hideMark/>
          </w:tcPr>
          <w:p w14:paraId="7587939E"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197%</w:t>
            </w:r>
          </w:p>
        </w:tc>
        <w:tc>
          <w:tcPr>
            <w:tcW w:w="678" w:type="dxa"/>
            <w:tcBorders>
              <w:top w:val="nil"/>
              <w:left w:val="nil"/>
              <w:bottom w:val="single" w:sz="8" w:space="0" w:color="auto"/>
              <w:right w:val="single" w:sz="8" w:space="0" w:color="auto"/>
            </w:tcBorders>
            <w:shd w:val="clear" w:color="auto" w:fill="auto"/>
            <w:noWrap/>
            <w:vAlign w:val="center"/>
            <w:hideMark/>
          </w:tcPr>
          <w:p w14:paraId="6D36FA73"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461%</w:t>
            </w:r>
          </w:p>
        </w:tc>
        <w:tc>
          <w:tcPr>
            <w:tcW w:w="677" w:type="dxa"/>
            <w:tcBorders>
              <w:top w:val="nil"/>
              <w:left w:val="nil"/>
              <w:bottom w:val="single" w:sz="8" w:space="0" w:color="auto"/>
              <w:right w:val="nil"/>
            </w:tcBorders>
            <w:shd w:val="clear" w:color="auto" w:fill="auto"/>
            <w:noWrap/>
            <w:vAlign w:val="center"/>
            <w:hideMark/>
          </w:tcPr>
          <w:p w14:paraId="7132F6E6"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202%</w:t>
            </w:r>
          </w:p>
        </w:tc>
        <w:tc>
          <w:tcPr>
            <w:tcW w:w="677" w:type="dxa"/>
            <w:tcBorders>
              <w:top w:val="nil"/>
              <w:left w:val="nil"/>
              <w:bottom w:val="single" w:sz="8" w:space="0" w:color="auto"/>
              <w:right w:val="nil"/>
            </w:tcBorders>
            <w:shd w:val="clear" w:color="auto" w:fill="auto"/>
            <w:noWrap/>
            <w:vAlign w:val="center"/>
            <w:hideMark/>
          </w:tcPr>
          <w:p w14:paraId="4B36CFC3"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252%</w:t>
            </w:r>
          </w:p>
        </w:tc>
        <w:tc>
          <w:tcPr>
            <w:tcW w:w="678" w:type="dxa"/>
            <w:tcBorders>
              <w:top w:val="nil"/>
              <w:left w:val="nil"/>
              <w:bottom w:val="single" w:sz="8" w:space="0" w:color="auto"/>
              <w:right w:val="single" w:sz="8" w:space="0" w:color="auto"/>
            </w:tcBorders>
            <w:shd w:val="clear" w:color="auto" w:fill="auto"/>
            <w:noWrap/>
            <w:vAlign w:val="center"/>
            <w:hideMark/>
          </w:tcPr>
          <w:p w14:paraId="10CD4F93"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159%</w:t>
            </w:r>
          </w:p>
        </w:tc>
      </w:tr>
      <w:tr w:rsidR="00EF722F" w:rsidRPr="00EF722F" w14:paraId="7C5CC087" w14:textId="77777777" w:rsidTr="00F74BDC">
        <w:trPr>
          <w:trHeight w:val="509"/>
        </w:trPr>
        <w:tc>
          <w:tcPr>
            <w:tcW w:w="2150" w:type="dxa"/>
            <w:tcBorders>
              <w:top w:val="nil"/>
              <w:left w:val="nil"/>
              <w:bottom w:val="nil"/>
              <w:right w:val="nil"/>
            </w:tcBorders>
            <w:shd w:val="clear" w:color="auto" w:fill="auto"/>
            <w:noWrap/>
            <w:vAlign w:val="bottom"/>
            <w:hideMark/>
          </w:tcPr>
          <w:p w14:paraId="5292520F"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p>
        </w:tc>
        <w:tc>
          <w:tcPr>
            <w:tcW w:w="2120" w:type="dxa"/>
            <w:gridSpan w:val="3"/>
            <w:tcBorders>
              <w:top w:val="single" w:sz="8" w:space="0" w:color="auto"/>
              <w:left w:val="single" w:sz="8" w:space="0" w:color="auto"/>
              <w:bottom w:val="nil"/>
              <w:right w:val="single" w:sz="8" w:space="0" w:color="000000"/>
            </w:tcBorders>
            <w:shd w:val="clear" w:color="000000" w:fill="B4C6E7"/>
            <w:vAlign w:val="center"/>
            <w:hideMark/>
          </w:tcPr>
          <w:p w14:paraId="5262E2C3" w14:textId="77777777" w:rsidR="00EF722F" w:rsidRPr="00ED58A9" w:rsidRDefault="00EF722F" w:rsidP="00EF722F">
            <w:pPr>
              <w:spacing w:after="0" w:line="240" w:lineRule="auto"/>
              <w:jc w:val="center"/>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 xml:space="preserve">Pre-transfer (as at </w:t>
            </w:r>
            <w:r w:rsidRPr="00ED58A9">
              <w:rPr>
                <w:rFonts w:ascii="Trebuchet MS" w:eastAsia="Times New Roman" w:hAnsi="Trebuchet MS" w:cs="Calibri"/>
                <w:b/>
                <w:bCs/>
                <w:color w:val="000000"/>
                <w:sz w:val="16"/>
                <w:szCs w:val="16"/>
                <w:lang w:eastAsia="en-GB"/>
              </w:rPr>
              <w:t>3Q20</w:t>
            </w:r>
            <w:r w:rsidRPr="00ED58A9">
              <w:rPr>
                <w:rFonts w:ascii="Trebuchet MS" w:eastAsia="Times New Roman" w:hAnsi="Trebuchet MS" w:cs="Calibri"/>
                <w:color w:val="000000"/>
                <w:sz w:val="16"/>
                <w:szCs w:val="16"/>
                <w:lang w:eastAsia="en-GB"/>
              </w:rPr>
              <w:t>) With impact of COVID-19</w:t>
            </w:r>
          </w:p>
        </w:tc>
        <w:tc>
          <w:tcPr>
            <w:tcW w:w="2121" w:type="dxa"/>
            <w:gridSpan w:val="3"/>
            <w:tcBorders>
              <w:top w:val="single" w:sz="8" w:space="0" w:color="auto"/>
              <w:left w:val="nil"/>
              <w:bottom w:val="nil"/>
              <w:right w:val="single" w:sz="8" w:space="0" w:color="000000"/>
            </w:tcBorders>
            <w:shd w:val="clear" w:color="000000" w:fill="B4C6E7"/>
            <w:vAlign w:val="center"/>
            <w:hideMark/>
          </w:tcPr>
          <w:p w14:paraId="36A24076" w14:textId="77777777" w:rsidR="00EF722F" w:rsidRPr="00ED58A9" w:rsidRDefault="00EF722F" w:rsidP="00EF722F">
            <w:pPr>
              <w:spacing w:after="0" w:line="240" w:lineRule="auto"/>
              <w:jc w:val="center"/>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 xml:space="preserve">Post transfer (as at </w:t>
            </w:r>
            <w:r w:rsidRPr="00ED58A9">
              <w:rPr>
                <w:rFonts w:ascii="Trebuchet MS" w:eastAsia="Times New Roman" w:hAnsi="Trebuchet MS" w:cs="Calibri"/>
                <w:b/>
                <w:bCs/>
                <w:color w:val="000000"/>
                <w:sz w:val="16"/>
                <w:szCs w:val="16"/>
                <w:lang w:eastAsia="en-GB"/>
              </w:rPr>
              <w:t>3Q20</w:t>
            </w:r>
            <w:r w:rsidRPr="00ED58A9">
              <w:rPr>
                <w:rFonts w:ascii="Trebuchet MS" w:eastAsia="Times New Roman" w:hAnsi="Trebuchet MS" w:cs="Calibri"/>
                <w:color w:val="000000"/>
                <w:sz w:val="16"/>
                <w:szCs w:val="16"/>
                <w:lang w:eastAsia="en-GB"/>
              </w:rPr>
              <w:t xml:space="preserve"> + impact of Transfer) With impact of COVID-19</w:t>
            </w:r>
          </w:p>
        </w:tc>
        <w:tc>
          <w:tcPr>
            <w:tcW w:w="2032" w:type="dxa"/>
            <w:gridSpan w:val="3"/>
            <w:tcBorders>
              <w:top w:val="single" w:sz="8" w:space="0" w:color="auto"/>
              <w:left w:val="nil"/>
              <w:bottom w:val="nil"/>
              <w:right w:val="single" w:sz="8" w:space="0" w:color="000000"/>
            </w:tcBorders>
            <w:shd w:val="clear" w:color="000000" w:fill="C6E0B4"/>
            <w:vAlign w:val="center"/>
            <w:hideMark/>
          </w:tcPr>
          <w:p w14:paraId="098FBEBF" w14:textId="77777777" w:rsidR="00EF722F" w:rsidRPr="00ED58A9" w:rsidRDefault="00EF722F" w:rsidP="00EF722F">
            <w:pPr>
              <w:spacing w:after="0" w:line="240" w:lineRule="auto"/>
              <w:jc w:val="center"/>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 xml:space="preserve">Pre-transfer (as at </w:t>
            </w:r>
            <w:r w:rsidRPr="00ED58A9">
              <w:rPr>
                <w:rFonts w:ascii="Trebuchet MS" w:eastAsia="Times New Roman" w:hAnsi="Trebuchet MS" w:cs="Calibri"/>
                <w:b/>
                <w:bCs/>
                <w:color w:val="000000"/>
                <w:sz w:val="16"/>
                <w:szCs w:val="16"/>
                <w:lang w:eastAsia="en-GB"/>
              </w:rPr>
              <w:t>3Q20</w:t>
            </w:r>
            <w:r w:rsidRPr="00ED58A9">
              <w:rPr>
                <w:rFonts w:ascii="Trebuchet MS" w:eastAsia="Times New Roman" w:hAnsi="Trebuchet MS" w:cs="Calibri"/>
                <w:color w:val="000000"/>
                <w:sz w:val="16"/>
                <w:szCs w:val="16"/>
                <w:lang w:eastAsia="en-GB"/>
              </w:rPr>
              <w:t>) With impact of COVID-19</w:t>
            </w:r>
          </w:p>
        </w:tc>
        <w:tc>
          <w:tcPr>
            <w:tcW w:w="2032" w:type="dxa"/>
            <w:gridSpan w:val="3"/>
            <w:tcBorders>
              <w:top w:val="single" w:sz="8" w:space="0" w:color="auto"/>
              <w:left w:val="nil"/>
              <w:bottom w:val="nil"/>
              <w:right w:val="single" w:sz="8" w:space="0" w:color="000000"/>
            </w:tcBorders>
            <w:shd w:val="clear" w:color="000000" w:fill="C6E0B4"/>
            <w:vAlign w:val="center"/>
            <w:hideMark/>
          </w:tcPr>
          <w:p w14:paraId="6A954AA0" w14:textId="77777777" w:rsidR="00EF722F" w:rsidRPr="00ED58A9" w:rsidRDefault="00EF722F" w:rsidP="00EF722F">
            <w:pPr>
              <w:spacing w:after="0" w:line="240" w:lineRule="auto"/>
              <w:jc w:val="center"/>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 xml:space="preserve">Post transfer (as at </w:t>
            </w:r>
            <w:r w:rsidRPr="00ED58A9">
              <w:rPr>
                <w:rFonts w:ascii="Trebuchet MS" w:eastAsia="Times New Roman" w:hAnsi="Trebuchet MS" w:cs="Calibri"/>
                <w:b/>
                <w:bCs/>
                <w:color w:val="000000"/>
                <w:sz w:val="16"/>
                <w:szCs w:val="16"/>
                <w:lang w:eastAsia="en-GB"/>
              </w:rPr>
              <w:t>3Q20</w:t>
            </w:r>
            <w:r w:rsidRPr="00ED58A9">
              <w:rPr>
                <w:rFonts w:ascii="Trebuchet MS" w:eastAsia="Times New Roman" w:hAnsi="Trebuchet MS" w:cs="Calibri"/>
                <w:color w:val="000000"/>
                <w:sz w:val="16"/>
                <w:szCs w:val="16"/>
                <w:lang w:eastAsia="en-GB"/>
              </w:rPr>
              <w:t xml:space="preserve"> + impact of Transfer) With impact of COVID-19</w:t>
            </w:r>
          </w:p>
        </w:tc>
      </w:tr>
      <w:tr w:rsidR="00EF722F" w:rsidRPr="00EF722F" w14:paraId="6841BC83" w14:textId="77777777" w:rsidTr="00F74BDC">
        <w:trPr>
          <w:trHeight w:val="577"/>
        </w:trPr>
        <w:tc>
          <w:tcPr>
            <w:tcW w:w="2150" w:type="dxa"/>
            <w:tcBorders>
              <w:top w:val="nil"/>
              <w:left w:val="nil"/>
              <w:bottom w:val="nil"/>
              <w:right w:val="nil"/>
            </w:tcBorders>
            <w:shd w:val="clear" w:color="auto" w:fill="auto"/>
            <w:noWrap/>
            <w:vAlign w:val="center"/>
            <w:hideMark/>
          </w:tcPr>
          <w:p w14:paraId="0D52E42C"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Eligible Own Funds</w:t>
            </w:r>
          </w:p>
        </w:tc>
        <w:tc>
          <w:tcPr>
            <w:tcW w:w="706" w:type="dxa"/>
            <w:tcBorders>
              <w:top w:val="nil"/>
              <w:left w:val="single" w:sz="8" w:space="0" w:color="auto"/>
              <w:bottom w:val="nil"/>
              <w:right w:val="nil"/>
            </w:tcBorders>
            <w:shd w:val="clear" w:color="auto" w:fill="auto"/>
            <w:noWrap/>
            <w:vAlign w:val="center"/>
            <w:hideMark/>
          </w:tcPr>
          <w:p w14:paraId="40081977"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90.0</w:t>
            </w:r>
          </w:p>
        </w:tc>
        <w:tc>
          <w:tcPr>
            <w:tcW w:w="706" w:type="dxa"/>
            <w:tcBorders>
              <w:top w:val="nil"/>
              <w:left w:val="nil"/>
              <w:bottom w:val="nil"/>
              <w:right w:val="nil"/>
            </w:tcBorders>
            <w:shd w:val="clear" w:color="auto" w:fill="auto"/>
            <w:noWrap/>
            <w:vAlign w:val="center"/>
            <w:hideMark/>
          </w:tcPr>
          <w:p w14:paraId="11C5CDE3"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82.1</w:t>
            </w:r>
          </w:p>
        </w:tc>
        <w:tc>
          <w:tcPr>
            <w:tcW w:w="708" w:type="dxa"/>
            <w:tcBorders>
              <w:top w:val="nil"/>
              <w:left w:val="nil"/>
              <w:bottom w:val="nil"/>
              <w:right w:val="single" w:sz="8" w:space="0" w:color="auto"/>
            </w:tcBorders>
            <w:shd w:val="clear" w:color="auto" w:fill="auto"/>
            <w:noWrap/>
            <w:vAlign w:val="center"/>
            <w:hideMark/>
          </w:tcPr>
          <w:p w14:paraId="6C784744"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30.2</w:t>
            </w:r>
          </w:p>
        </w:tc>
        <w:tc>
          <w:tcPr>
            <w:tcW w:w="706" w:type="dxa"/>
            <w:tcBorders>
              <w:top w:val="nil"/>
              <w:left w:val="nil"/>
              <w:bottom w:val="nil"/>
              <w:right w:val="nil"/>
            </w:tcBorders>
            <w:shd w:val="clear" w:color="auto" w:fill="auto"/>
            <w:noWrap/>
            <w:vAlign w:val="center"/>
            <w:hideMark/>
          </w:tcPr>
          <w:p w14:paraId="5D52F8AF"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87.4</w:t>
            </w:r>
          </w:p>
        </w:tc>
        <w:tc>
          <w:tcPr>
            <w:tcW w:w="706" w:type="dxa"/>
            <w:tcBorders>
              <w:top w:val="nil"/>
              <w:left w:val="nil"/>
              <w:bottom w:val="nil"/>
              <w:right w:val="nil"/>
            </w:tcBorders>
            <w:shd w:val="clear" w:color="auto" w:fill="auto"/>
            <w:noWrap/>
            <w:vAlign w:val="center"/>
            <w:hideMark/>
          </w:tcPr>
          <w:p w14:paraId="531B2A83"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53.3</w:t>
            </w:r>
          </w:p>
        </w:tc>
        <w:tc>
          <w:tcPr>
            <w:tcW w:w="709" w:type="dxa"/>
            <w:tcBorders>
              <w:top w:val="nil"/>
              <w:left w:val="nil"/>
              <w:bottom w:val="nil"/>
              <w:right w:val="single" w:sz="8" w:space="0" w:color="auto"/>
            </w:tcBorders>
            <w:shd w:val="clear" w:color="auto" w:fill="auto"/>
            <w:noWrap/>
            <w:vAlign w:val="center"/>
            <w:hideMark/>
          </w:tcPr>
          <w:p w14:paraId="543AD4BB"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65.7</w:t>
            </w:r>
          </w:p>
        </w:tc>
        <w:tc>
          <w:tcPr>
            <w:tcW w:w="677" w:type="dxa"/>
            <w:tcBorders>
              <w:top w:val="nil"/>
              <w:left w:val="nil"/>
              <w:bottom w:val="nil"/>
              <w:right w:val="nil"/>
            </w:tcBorders>
            <w:shd w:val="clear" w:color="auto" w:fill="auto"/>
            <w:noWrap/>
            <w:vAlign w:val="center"/>
            <w:hideMark/>
          </w:tcPr>
          <w:p w14:paraId="6FFFEE69"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97.5</w:t>
            </w:r>
          </w:p>
        </w:tc>
        <w:tc>
          <w:tcPr>
            <w:tcW w:w="677" w:type="dxa"/>
            <w:tcBorders>
              <w:top w:val="nil"/>
              <w:left w:val="nil"/>
              <w:bottom w:val="nil"/>
              <w:right w:val="nil"/>
            </w:tcBorders>
            <w:shd w:val="clear" w:color="auto" w:fill="auto"/>
            <w:noWrap/>
            <w:vAlign w:val="center"/>
            <w:hideMark/>
          </w:tcPr>
          <w:p w14:paraId="486A223D"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82.7</w:t>
            </w:r>
          </w:p>
        </w:tc>
        <w:tc>
          <w:tcPr>
            <w:tcW w:w="678" w:type="dxa"/>
            <w:tcBorders>
              <w:top w:val="nil"/>
              <w:left w:val="nil"/>
              <w:bottom w:val="nil"/>
              <w:right w:val="single" w:sz="8" w:space="0" w:color="auto"/>
            </w:tcBorders>
            <w:shd w:val="clear" w:color="auto" w:fill="auto"/>
            <w:noWrap/>
            <w:vAlign w:val="center"/>
            <w:hideMark/>
          </w:tcPr>
          <w:p w14:paraId="2AB04DD0"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34.6</w:t>
            </w:r>
          </w:p>
        </w:tc>
        <w:tc>
          <w:tcPr>
            <w:tcW w:w="677" w:type="dxa"/>
            <w:tcBorders>
              <w:top w:val="nil"/>
              <w:left w:val="nil"/>
              <w:bottom w:val="nil"/>
              <w:right w:val="nil"/>
            </w:tcBorders>
            <w:shd w:val="clear" w:color="auto" w:fill="auto"/>
            <w:noWrap/>
            <w:vAlign w:val="center"/>
            <w:hideMark/>
          </w:tcPr>
          <w:p w14:paraId="48A5DB43"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106.4</w:t>
            </w:r>
          </w:p>
        </w:tc>
        <w:tc>
          <w:tcPr>
            <w:tcW w:w="677" w:type="dxa"/>
            <w:tcBorders>
              <w:top w:val="nil"/>
              <w:left w:val="nil"/>
              <w:bottom w:val="nil"/>
              <w:right w:val="nil"/>
            </w:tcBorders>
            <w:shd w:val="clear" w:color="auto" w:fill="auto"/>
            <w:noWrap/>
            <w:vAlign w:val="center"/>
            <w:hideMark/>
          </w:tcPr>
          <w:p w14:paraId="1DD963BF"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48.8</w:t>
            </w:r>
          </w:p>
        </w:tc>
        <w:tc>
          <w:tcPr>
            <w:tcW w:w="678" w:type="dxa"/>
            <w:tcBorders>
              <w:top w:val="nil"/>
              <w:left w:val="nil"/>
              <w:bottom w:val="nil"/>
              <w:right w:val="single" w:sz="8" w:space="0" w:color="auto"/>
            </w:tcBorders>
            <w:shd w:val="clear" w:color="auto" w:fill="auto"/>
            <w:noWrap/>
            <w:vAlign w:val="center"/>
            <w:hideMark/>
          </w:tcPr>
          <w:p w14:paraId="37D45806"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60.6</w:t>
            </w:r>
          </w:p>
        </w:tc>
      </w:tr>
      <w:tr w:rsidR="00EF722F" w:rsidRPr="00EF722F" w14:paraId="28B280AF" w14:textId="77777777" w:rsidTr="00F74BDC">
        <w:trPr>
          <w:trHeight w:val="210"/>
        </w:trPr>
        <w:tc>
          <w:tcPr>
            <w:tcW w:w="2150" w:type="dxa"/>
            <w:tcBorders>
              <w:top w:val="nil"/>
              <w:left w:val="nil"/>
              <w:bottom w:val="nil"/>
              <w:right w:val="nil"/>
            </w:tcBorders>
            <w:shd w:val="clear" w:color="auto" w:fill="auto"/>
            <w:noWrap/>
            <w:vAlign w:val="center"/>
            <w:hideMark/>
          </w:tcPr>
          <w:p w14:paraId="3CE9E1BB"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Regulatory SCR</w:t>
            </w:r>
          </w:p>
        </w:tc>
        <w:tc>
          <w:tcPr>
            <w:tcW w:w="706" w:type="dxa"/>
            <w:tcBorders>
              <w:top w:val="nil"/>
              <w:left w:val="single" w:sz="8" w:space="0" w:color="auto"/>
              <w:bottom w:val="nil"/>
              <w:right w:val="nil"/>
            </w:tcBorders>
            <w:shd w:val="clear" w:color="auto" w:fill="auto"/>
            <w:noWrap/>
            <w:vAlign w:val="center"/>
            <w:hideMark/>
          </w:tcPr>
          <w:p w14:paraId="73858B3D"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52.2</w:t>
            </w:r>
          </w:p>
        </w:tc>
        <w:tc>
          <w:tcPr>
            <w:tcW w:w="706" w:type="dxa"/>
            <w:tcBorders>
              <w:top w:val="nil"/>
              <w:left w:val="nil"/>
              <w:bottom w:val="nil"/>
              <w:right w:val="nil"/>
            </w:tcBorders>
            <w:shd w:val="clear" w:color="auto" w:fill="auto"/>
            <w:noWrap/>
            <w:vAlign w:val="center"/>
            <w:hideMark/>
          </w:tcPr>
          <w:p w14:paraId="653B87DD"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38.2</w:t>
            </w:r>
          </w:p>
        </w:tc>
        <w:tc>
          <w:tcPr>
            <w:tcW w:w="708" w:type="dxa"/>
            <w:tcBorders>
              <w:top w:val="nil"/>
              <w:left w:val="nil"/>
              <w:bottom w:val="nil"/>
              <w:right w:val="single" w:sz="8" w:space="0" w:color="auto"/>
            </w:tcBorders>
            <w:shd w:val="clear" w:color="auto" w:fill="auto"/>
            <w:noWrap/>
            <w:vAlign w:val="center"/>
            <w:hideMark/>
          </w:tcPr>
          <w:p w14:paraId="37D807EC"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17.7</w:t>
            </w:r>
          </w:p>
        </w:tc>
        <w:tc>
          <w:tcPr>
            <w:tcW w:w="706" w:type="dxa"/>
            <w:tcBorders>
              <w:top w:val="nil"/>
              <w:left w:val="nil"/>
              <w:bottom w:val="nil"/>
              <w:right w:val="nil"/>
            </w:tcBorders>
            <w:shd w:val="clear" w:color="auto" w:fill="auto"/>
            <w:noWrap/>
            <w:vAlign w:val="center"/>
            <w:hideMark/>
          </w:tcPr>
          <w:p w14:paraId="75B4AC04"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47.5</w:t>
            </w:r>
          </w:p>
        </w:tc>
        <w:tc>
          <w:tcPr>
            <w:tcW w:w="706" w:type="dxa"/>
            <w:tcBorders>
              <w:top w:val="nil"/>
              <w:left w:val="nil"/>
              <w:bottom w:val="nil"/>
              <w:right w:val="nil"/>
            </w:tcBorders>
            <w:shd w:val="clear" w:color="auto" w:fill="auto"/>
            <w:noWrap/>
            <w:vAlign w:val="center"/>
            <w:hideMark/>
          </w:tcPr>
          <w:p w14:paraId="2F381A01"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20.4</w:t>
            </w:r>
          </w:p>
        </w:tc>
        <w:tc>
          <w:tcPr>
            <w:tcW w:w="709" w:type="dxa"/>
            <w:tcBorders>
              <w:top w:val="nil"/>
              <w:left w:val="nil"/>
              <w:bottom w:val="nil"/>
              <w:right w:val="single" w:sz="8" w:space="0" w:color="auto"/>
            </w:tcBorders>
            <w:shd w:val="clear" w:color="auto" w:fill="auto"/>
            <w:noWrap/>
            <w:vAlign w:val="center"/>
            <w:hideMark/>
          </w:tcPr>
          <w:p w14:paraId="164A5848"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43.5</w:t>
            </w:r>
          </w:p>
        </w:tc>
        <w:tc>
          <w:tcPr>
            <w:tcW w:w="677" w:type="dxa"/>
            <w:tcBorders>
              <w:top w:val="nil"/>
              <w:left w:val="nil"/>
              <w:bottom w:val="nil"/>
              <w:right w:val="nil"/>
            </w:tcBorders>
            <w:shd w:val="clear" w:color="auto" w:fill="auto"/>
            <w:noWrap/>
            <w:vAlign w:val="center"/>
            <w:hideMark/>
          </w:tcPr>
          <w:p w14:paraId="3D29734F"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57.1</w:t>
            </w:r>
          </w:p>
        </w:tc>
        <w:tc>
          <w:tcPr>
            <w:tcW w:w="677" w:type="dxa"/>
            <w:tcBorders>
              <w:top w:val="nil"/>
              <w:left w:val="nil"/>
              <w:bottom w:val="nil"/>
              <w:right w:val="nil"/>
            </w:tcBorders>
            <w:shd w:val="clear" w:color="auto" w:fill="auto"/>
            <w:noWrap/>
            <w:vAlign w:val="center"/>
            <w:hideMark/>
          </w:tcPr>
          <w:p w14:paraId="7A397D87"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35.9</w:t>
            </w:r>
          </w:p>
        </w:tc>
        <w:tc>
          <w:tcPr>
            <w:tcW w:w="678" w:type="dxa"/>
            <w:tcBorders>
              <w:top w:val="nil"/>
              <w:left w:val="nil"/>
              <w:bottom w:val="nil"/>
              <w:right w:val="single" w:sz="8" w:space="0" w:color="auto"/>
            </w:tcBorders>
            <w:shd w:val="clear" w:color="auto" w:fill="auto"/>
            <w:noWrap/>
            <w:vAlign w:val="center"/>
            <w:hideMark/>
          </w:tcPr>
          <w:p w14:paraId="0A91B076"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15.6</w:t>
            </w:r>
          </w:p>
        </w:tc>
        <w:tc>
          <w:tcPr>
            <w:tcW w:w="677" w:type="dxa"/>
            <w:tcBorders>
              <w:top w:val="nil"/>
              <w:left w:val="nil"/>
              <w:bottom w:val="nil"/>
              <w:right w:val="nil"/>
            </w:tcBorders>
            <w:shd w:val="clear" w:color="auto" w:fill="auto"/>
            <w:noWrap/>
            <w:vAlign w:val="center"/>
            <w:hideMark/>
          </w:tcPr>
          <w:p w14:paraId="122B61A2"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52.0</w:t>
            </w:r>
          </w:p>
        </w:tc>
        <w:tc>
          <w:tcPr>
            <w:tcW w:w="677" w:type="dxa"/>
            <w:tcBorders>
              <w:top w:val="nil"/>
              <w:left w:val="nil"/>
              <w:bottom w:val="nil"/>
              <w:right w:val="nil"/>
            </w:tcBorders>
            <w:shd w:val="clear" w:color="auto" w:fill="auto"/>
            <w:noWrap/>
            <w:vAlign w:val="center"/>
            <w:hideMark/>
          </w:tcPr>
          <w:p w14:paraId="254D3143"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19.2</w:t>
            </w:r>
          </w:p>
        </w:tc>
        <w:tc>
          <w:tcPr>
            <w:tcW w:w="678" w:type="dxa"/>
            <w:tcBorders>
              <w:top w:val="nil"/>
              <w:left w:val="nil"/>
              <w:bottom w:val="nil"/>
              <w:right w:val="single" w:sz="8" w:space="0" w:color="auto"/>
            </w:tcBorders>
            <w:shd w:val="clear" w:color="auto" w:fill="auto"/>
            <w:noWrap/>
            <w:vAlign w:val="center"/>
            <w:hideMark/>
          </w:tcPr>
          <w:p w14:paraId="1D678DAA"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39.8</w:t>
            </w:r>
          </w:p>
        </w:tc>
      </w:tr>
      <w:tr w:rsidR="00EF722F" w:rsidRPr="00EF722F" w14:paraId="3E73103D" w14:textId="77777777" w:rsidTr="00F74BDC">
        <w:trPr>
          <w:trHeight w:val="218"/>
        </w:trPr>
        <w:tc>
          <w:tcPr>
            <w:tcW w:w="2150" w:type="dxa"/>
            <w:tcBorders>
              <w:top w:val="nil"/>
              <w:left w:val="nil"/>
              <w:bottom w:val="nil"/>
              <w:right w:val="nil"/>
            </w:tcBorders>
            <w:shd w:val="clear" w:color="auto" w:fill="auto"/>
            <w:noWrap/>
            <w:vAlign w:val="center"/>
            <w:hideMark/>
          </w:tcPr>
          <w:p w14:paraId="62FF8FD1"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SCR%</w:t>
            </w:r>
          </w:p>
        </w:tc>
        <w:tc>
          <w:tcPr>
            <w:tcW w:w="706" w:type="dxa"/>
            <w:tcBorders>
              <w:top w:val="nil"/>
              <w:left w:val="single" w:sz="8" w:space="0" w:color="auto"/>
              <w:bottom w:val="single" w:sz="8" w:space="0" w:color="auto"/>
              <w:right w:val="nil"/>
            </w:tcBorders>
            <w:shd w:val="clear" w:color="auto" w:fill="auto"/>
            <w:noWrap/>
            <w:vAlign w:val="center"/>
            <w:hideMark/>
          </w:tcPr>
          <w:p w14:paraId="013D2164"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172%</w:t>
            </w:r>
          </w:p>
        </w:tc>
        <w:tc>
          <w:tcPr>
            <w:tcW w:w="706" w:type="dxa"/>
            <w:tcBorders>
              <w:top w:val="nil"/>
              <w:left w:val="nil"/>
              <w:bottom w:val="single" w:sz="8" w:space="0" w:color="auto"/>
              <w:right w:val="nil"/>
            </w:tcBorders>
            <w:shd w:val="clear" w:color="auto" w:fill="auto"/>
            <w:noWrap/>
            <w:vAlign w:val="center"/>
            <w:hideMark/>
          </w:tcPr>
          <w:p w14:paraId="2136B25A"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215%</w:t>
            </w:r>
          </w:p>
        </w:tc>
        <w:tc>
          <w:tcPr>
            <w:tcW w:w="708" w:type="dxa"/>
            <w:tcBorders>
              <w:top w:val="nil"/>
              <w:left w:val="nil"/>
              <w:bottom w:val="single" w:sz="8" w:space="0" w:color="auto"/>
              <w:right w:val="single" w:sz="8" w:space="0" w:color="auto"/>
            </w:tcBorders>
            <w:shd w:val="clear" w:color="auto" w:fill="auto"/>
            <w:noWrap/>
            <w:vAlign w:val="center"/>
            <w:hideMark/>
          </w:tcPr>
          <w:p w14:paraId="4A64E2F0"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170%</w:t>
            </w:r>
          </w:p>
        </w:tc>
        <w:tc>
          <w:tcPr>
            <w:tcW w:w="706" w:type="dxa"/>
            <w:tcBorders>
              <w:top w:val="nil"/>
              <w:left w:val="nil"/>
              <w:bottom w:val="single" w:sz="8" w:space="0" w:color="auto"/>
              <w:right w:val="nil"/>
            </w:tcBorders>
            <w:shd w:val="clear" w:color="auto" w:fill="auto"/>
            <w:noWrap/>
            <w:vAlign w:val="center"/>
            <w:hideMark/>
          </w:tcPr>
          <w:p w14:paraId="1B62F807"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184%</w:t>
            </w:r>
          </w:p>
        </w:tc>
        <w:tc>
          <w:tcPr>
            <w:tcW w:w="706" w:type="dxa"/>
            <w:tcBorders>
              <w:top w:val="nil"/>
              <w:left w:val="nil"/>
              <w:bottom w:val="single" w:sz="8" w:space="0" w:color="auto"/>
              <w:right w:val="nil"/>
            </w:tcBorders>
            <w:shd w:val="clear" w:color="auto" w:fill="auto"/>
            <w:noWrap/>
            <w:vAlign w:val="center"/>
            <w:hideMark/>
          </w:tcPr>
          <w:p w14:paraId="3ED1F6D1"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262%</w:t>
            </w:r>
          </w:p>
        </w:tc>
        <w:tc>
          <w:tcPr>
            <w:tcW w:w="709" w:type="dxa"/>
            <w:tcBorders>
              <w:top w:val="nil"/>
              <w:left w:val="nil"/>
              <w:bottom w:val="single" w:sz="8" w:space="0" w:color="auto"/>
              <w:right w:val="single" w:sz="8" w:space="0" w:color="auto"/>
            </w:tcBorders>
            <w:shd w:val="clear" w:color="auto" w:fill="auto"/>
            <w:noWrap/>
            <w:vAlign w:val="center"/>
            <w:hideMark/>
          </w:tcPr>
          <w:p w14:paraId="17F67457"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151%</w:t>
            </w:r>
          </w:p>
        </w:tc>
        <w:tc>
          <w:tcPr>
            <w:tcW w:w="677" w:type="dxa"/>
            <w:tcBorders>
              <w:top w:val="nil"/>
              <w:left w:val="nil"/>
              <w:bottom w:val="single" w:sz="8" w:space="0" w:color="auto"/>
              <w:right w:val="nil"/>
            </w:tcBorders>
            <w:shd w:val="clear" w:color="auto" w:fill="auto"/>
            <w:noWrap/>
            <w:vAlign w:val="center"/>
            <w:hideMark/>
          </w:tcPr>
          <w:p w14:paraId="64D9DADC"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171%</w:t>
            </w:r>
          </w:p>
        </w:tc>
        <w:tc>
          <w:tcPr>
            <w:tcW w:w="677" w:type="dxa"/>
            <w:tcBorders>
              <w:top w:val="nil"/>
              <w:left w:val="nil"/>
              <w:bottom w:val="single" w:sz="8" w:space="0" w:color="auto"/>
              <w:right w:val="nil"/>
            </w:tcBorders>
            <w:shd w:val="clear" w:color="auto" w:fill="auto"/>
            <w:noWrap/>
            <w:vAlign w:val="center"/>
            <w:hideMark/>
          </w:tcPr>
          <w:p w14:paraId="14AE1F0A"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230%</w:t>
            </w:r>
          </w:p>
        </w:tc>
        <w:tc>
          <w:tcPr>
            <w:tcW w:w="678" w:type="dxa"/>
            <w:tcBorders>
              <w:top w:val="nil"/>
              <w:left w:val="nil"/>
              <w:bottom w:val="single" w:sz="8" w:space="0" w:color="auto"/>
              <w:right w:val="single" w:sz="8" w:space="0" w:color="auto"/>
            </w:tcBorders>
            <w:shd w:val="clear" w:color="auto" w:fill="auto"/>
            <w:noWrap/>
            <w:vAlign w:val="center"/>
            <w:hideMark/>
          </w:tcPr>
          <w:p w14:paraId="76E9726F"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222%</w:t>
            </w:r>
          </w:p>
        </w:tc>
        <w:tc>
          <w:tcPr>
            <w:tcW w:w="677" w:type="dxa"/>
            <w:tcBorders>
              <w:top w:val="nil"/>
              <w:left w:val="nil"/>
              <w:bottom w:val="single" w:sz="8" w:space="0" w:color="auto"/>
              <w:right w:val="nil"/>
            </w:tcBorders>
            <w:shd w:val="clear" w:color="auto" w:fill="auto"/>
            <w:noWrap/>
            <w:vAlign w:val="center"/>
            <w:hideMark/>
          </w:tcPr>
          <w:p w14:paraId="74D8082E"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205%</w:t>
            </w:r>
          </w:p>
        </w:tc>
        <w:tc>
          <w:tcPr>
            <w:tcW w:w="677" w:type="dxa"/>
            <w:tcBorders>
              <w:top w:val="nil"/>
              <w:left w:val="nil"/>
              <w:bottom w:val="single" w:sz="8" w:space="0" w:color="auto"/>
              <w:right w:val="nil"/>
            </w:tcBorders>
            <w:shd w:val="clear" w:color="auto" w:fill="auto"/>
            <w:noWrap/>
            <w:vAlign w:val="center"/>
            <w:hideMark/>
          </w:tcPr>
          <w:p w14:paraId="1EBEB04B"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254%</w:t>
            </w:r>
          </w:p>
        </w:tc>
        <w:tc>
          <w:tcPr>
            <w:tcW w:w="678" w:type="dxa"/>
            <w:tcBorders>
              <w:top w:val="nil"/>
              <w:left w:val="nil"/>
              <w:bottom w:val="single" w:sz="8" w:space="0" w:color="auto"/>
              <w:right w:val="single" w:sz="8" w:space="0" w:color="auto"/>
            </w:tcBorders>
            <w:shd w:val="clear" w:color="auto" w:fill="auto"/>
            <w:noWrap/>
            <w:vAlign w:val="center"/>
            <w:hideMark/>
          </w:tcPr>
          <w:p w14:paraId="147DF029" w14:textId="77777777" w:rsidR="00EF722F" w:rsidRPr="00ED58A9" w:rsidRDefault="00EF722F" w:rsidP="00EF722F">
            <w:pPr>
              <w:spacing w:after="0" w:line="240" w:lineRule="auto"/>
              <w:jc w:val="right"/>
              <w:rPr>
                <w:rFonts w:ascii="Trebuchet MS" w:eastAsia="Times New Roman" w:hAnsi="Trebuchet MS" w:cs="Calibri"/>
                <w:color w:val="000000"/>
                <w:sz w:val="16"/>
                <w:szCs w:val="16"/>
                <w:lang w:eastAsia="en-GB"/>
              </w:rPr>
            </w:pPr>
            <w:r w:rsidRPr="00ED58A9">
              <w:rPr>
                <w:rFonts w:ascii="Trebuchet MS" w:eastAsia="Times New Roman" w:hAnsi="Trebuchet MS" w:cs="Calibri"/>
                <w:color w:val="000000"/>
                <w:sz w:val="16"/>
                <w:szCs w:val="16"/>
                <w:lang w:eastAsia="en-GB"/>
              </w:rPr>
              <w:t>153%</w:t>
            </w:r>
          </w:p>
        </w:tc>
      </w:tr>
    </w:tbl>
    <w:p w14:paraId="77C2C1FE" w14:textId="77777777" w:rsidR="006813EE" w:rsidRDefault="006813EE" w:rsidP="001B4EF7">
      <w:pPr>
        <w:rPr>
          <w:rFonts w:ascii="Trebuchet MS" w:hAnsi="Trebuchet MS"/>
          <w:sz w:val="20"/>
          <w:szCs w:val="20"/>
          <w:lang w:val="en-US"/>
        </w:rPr>
      </w:pPr>
    </w:p>
    <w:p w14:paraId="56341B74" w14:textId="074B8890" w:rsidR="00D10278" w:rsidRDefault="00971C11" w:rsidP="001B4EF7">
      <w:pPr>
        <w:rPr>
          <w:rFonts w:ascii="Trebuchet MS" w:hAnsi="Trebuchet MS"/>
          <w:sz w:val="20"/>
          <w:szCs w:val="20"/>
          <w:lang w:val="en-US"/>
        </w:rPr>
      </w:pPr>
      <w:r w:rsidRPr="00882423">
        <w:rPr>
          <w:rFonts w:ascii="Trebuchet MS" w:hAnsi="Trebuchet MS"/>
          <w:sz w:val="20"/>
          <w:szCs w:val="20"/>
          <w:lang w:val="en-US"/>
        </w:rPr>
        <w:t xml:space="preserve">As it can be seen in the table above, in the supplementary report parts on the right side, the Own Funds of AGIL </w:t>
      </w:r>
      <w:r w:rsidR="00CF1EC0" w:rsidRPr="00882423">
        <w:rPr>
          <w:rFonts w:ascii="Trebuchet MS" w:hAnsi="Trebuchet MS"/>
          <w:sz w:val="20"/>
          <w:szCs w:val="20"/>
          <w:lang w:val="en-US"/>
        </w:rPr>
        <w:t>are</w:t>
      </w:r>
      <w:r w:rsidRPr="00882423">
        <w:rPr>
          <w:rFonts w:ascii="Trebuchet MS" w:hAnsi="Trebuchet MS"/>
          <w:sz w:val="20"/>
          <w:szCs w:val="20"/>
          <w:lang w:val="en-US"/>
        </w:rPr>
        <w:t xml:space="preserve"> boosted by the transfer and that of LGI reduced. This is essentially because of the fair value </w:t>
      </w:r>
      <w:r w:rsidR="00B8214A" w:rsidRPr="00882423">
        <w:rPr>
          <w:rFonts w:ascii="Trebuchet MS" w:hAnsi="Trebuchet MS"/>
          <w:sz w:val="20"/>
          <w:szCs w:val="20"/>
          <w:lang w:val="en-US"/>
        </w:rPr>
        <w:t xml:space="preserve">at arm’s length </w:t>
      </w:r>
      <w:r w:rsidRPr="00882423">
        <w:rPr>
          <w:rFonts w:ascii="Trebuchet MS" w:hAnsi="Trebuchet MS"/>
          <w:sz w:val="20"/>
          <w:szCs w:val="20"/>
          <w:lang w:val="en-US"/>
        </w:rPr>
        <w:t xml:space="preserve">consideration paid (in </w:t>
      </w:r>
      <w:r w:rsidR="00082924">
        <w:rPr>
          <w:rFonts w:ascii="Trebuchet MS" w:hAnsi="Trebuchet MS"/>
          <w:sz w:val="20"/>
          <w:szCs w:val="20"/>
          <w:lang w:val="en-US"/>
        </w:rPr>
        <w:t>S</w:t>
      </w:r>
      <w:r w:rsidRPr="00882423">
        <w:rPr>
          <w:rFonts w:ascii="Trebuchet MS" w:hAnsi="Trebuchet MS"/>
          <w:sz w:val="20"/>
          <w:szCs w:val="20"/>
          <w:lang w:val="en-US"/>
        </w:rPr>
        <w:t>olvency</w:t>
      </w:r>
      <w:r w:rsidR="00082924">
        <w:rPr>
          <w:rFonts w:ascii="Trebuchet MS" w:hAnsi="Trebuchet MS"/>
          <w:sz w:val="20"/>
          <w:szCs w:val="20"/>
          <w:lang w:val="en-US"/>
        </w:rPr>
        <w:t xml:space="preserve"> II</w:t>
      </w:r>
      <w:r w:rsidRPr="00882423">
        <w:rPr>
          <w:rFonts w:ascii="Trebuchet MS" w:hAnsi="Trebuchet MS"/>
          <w:sz w:val="20"/>
          <w:szCs w:val="20"/>
          <w:lang w:val="en-US"/>
        </w:rPr>
        <w:t xml:space="preserve"> admissible funds) by AEI to AGIL, offset by further capital injections from LGI to AEI. These Own Funds movements do not impact policyholders’ security as all the companies involved in the Scheme remain well </w:t>
      </w:r>
      <w:proofErr w:type="spellStart"/>
      <w:r w:rsidRPr="00882423">
        <w:rPr>
          <w:rFonts w:ascii="Trebuchet MS" w:hAnsi="Trebuchet MS"/>
          <w:sz w:val="20"/>
          <w:szCs w:val="20"/>
          <w:lang w:val="en-US"/>
        </w:rPr>
        <w:t>capitalised</w:t>
      </w:r>
      <w:proofErr w:type="spellEnd"/>
      <w:r w:rsidRPr="00882423">
        <w:rPr>
          <w:rFonts w:ascii="Trebuchet MS" w:hAnsi="Trebuchet MS"/>
          <w:sz w:val="20"/>
          <w:szCs w:val="20"/>
          <w:lang w:val="en-US"/>
        </w:rPr>
        <w:t xml:space="preserve"> above their buffers.</w:t>
      </w:r>
      <w:r w:rsidR="00B8214A" w:rsidRPr="00882423">
        <w:rPr>
          <w:rFonts w:ascii="Trebuchet MS" w:hAnsi="Trebuchet MS"/>
          <w:sz w:val="20"/>
          <w:szCs w:val="20"/>
          <w:lang w:val="en-US"/>
        </w:rPr>
        <w:t xml:space="preserve"> The fair value at arm’s length consideration was not explicitly </w:t>
      </w:r>
      <w:r w:rsidR="00B8214A" w:rsidRPr="00882423">
        <w:rPr>
          <w:rFonts w:ascii="Trebuchet MS" w:hAnsi="Trebuchet MS"/>
          <w:sz w:val="20"/>
          <w:szCs w:val="20"/>
          <w:lang w:val="en-US"/>
        </w:rPr>
        <w:lastRenderedPageBreak/>
        <w:t>allowed for in the initial report and is now adopted explicitly in this report further down in this section and in section 4.</w:t>
      </w:r>
      <w:r w:rsidR="00BC588C" w:rsidRPr="00882423">
        <w:rPr>
          <w:rFonts w:ascii="Trebuchet MS" w:hAnsi="Trebuchet MS"/>
          <w:sz w:val="20"/>
          <w:szCs w:val="20"/>
          <w:lang w:val="en-US"/>
        </w:rPr>
        <w:t xml:space="preserve"> </w:t>
      </w:r>
    </w:p>
    <w:p w14:paraId="0717F8E4" w14:textId="77777777" w:rsidR="00651760" w:rsidRPr="00651760" w:rsidRDefault="00651760" w:rsidP="00651760">
      <w:pPr>
        <w:rPr>
          <w:rFonts w:ascii="Trebuchet MS" w:hAnsi="Trebuchet MS"/>
          <w:sz w:val="20"/>
          <w:szCs w:val="20"/>
          <w:lang w:val="en-US"/>
        </w:rPr>
      </w:pPr>
      <w:r w:rsidRPr="00651760">
        <w:rPr>
          <w:rFonts w:ascii="Trebuchet MS" w:hAnsi="Trebuchet MS"/>
          <w:sz w:val="20"/>
          <w:szCs w:val="20"/>
          <w:lang w:val="en-US"/>
        </w:rPr>
        <w:t>LGI SCR is driven by insurance risk (premium and reserve risks), and exposure volumes are coming down in insurance risk since YE19. This is the main driver of LGI SCR pre-transfer movement from YE19 to 3Q20.</w:t>
      </w:r>
    </w:p>
    <w:p w14:paraId="202C28FF" w14:textId="4CCB9FFD" w:rsidR="00651760" w:rsidRDefault="00651760" w:rsidP="00651760">
      <w:pPr>
        <w:rPr>
          <w:rFonts w:ascii="Trebuchet MS" w:hAnsi="Trebuchet MS"/>
          <w:sz w:val="20"/>
          <w:szCs w:val="20"/>
          <w:lang w:val="en-US"/>
        </w:rPr>
      </w:pPr>
      <w:r w:rsidRPr="00651760">
        <w:rPr>
          <w:rFonts w:ascii="Trebuchet MS" w:hAnsi="Trebuchet MS"/>
          <w:sz w:val="20"/>
          <w:szCs w:val="20"/>
          <w:lang w:val="en-US"/>
        </w:rPr>
        <w:t>LGI and AGIL 2Q20 and 3Q20 post</w:t>
      </w:r>
      <w:r>
        <w:rPr>
          <w:rFonts w:ascii="Trebuchet MS" w:hAnsi="Trebuchet MS"/>
          <w:sz w:val="20"/>
          <w:szCs w:val="20"/>
          <w:lang w:val="en-US"/>
        </w:rPr>
        <w:t>-</w:t>
      </w:r>
      <w:r w:rsidRPr="00651760">
        <w:rPr>
          <w:rFonts w:ascii="Trebuchet MS" w:hAnsi="Trebuchet MS"/>
          <w:sz w:val="20"/>
          <w:szCs w:val="20"/>
          <w:lang w:val="en-US"/>
        </w:rPr>
        <w:t>transfer SCRs are modelled as the same, this is an approximation made in the forecasting of 3Q20 position. As volumes of LGI and AGIL insurance risk exposures reduce between 2Q20 and 3Q20; therefore, the actual 3Q20 SCRs are expected to be lower than the 2Q20 SCRs. Hence, keeping the 2Q20 SCRs for LGI and AGIL is marginally conservative in nature.</w:t>
      </w:r>
    </w:p>
    <w:p w14:paraId="2B300CD9" w14:textId="3D55D07D" w:rsidR="00971C11" w:rsidRPr="00882423" w:rsidRDefault="00BC588C" w:rsidP="00651760">
      <w:pPr>
        <w:rPr>
          <w:rFonts w:ascii="Trebuchet MS" w:eastAsiaTheme="minorEastAsia" w:hAnsi="Trebuchet MS" w:cs="Arial"/>
          <w:sz w:val="20"/>
          <w:szCs w:val="20"/>
          <w:lang w:eastAsia="en-GB"/>
        </w:rPr>
      </w:pPr>
      <w:r>
        <w:rPr>
          <w:rFonts w:ascii="Trebuchet MS" w:hAnsi="Trebuchet MS"/>
          <w:sz w:val="20"/>
          <w:szCs w:val="20"/>
          <w:lang w:val="en-US"/>
        </w:rPr>
        <w:t xml:space="preserve">The movement in Own Funds of AEI between 2Q20 and 3Q20 is impacted by a one-off expense </w:t>
      </w:r>
      <w:r w:rsidR="00D10278">
        <w:rPr>
          <w:rFonts w:ascii="Trebuchet MS" w:hAnsi="Trebuchet MS"/>
          <w:sz w:val="20"/>
          <w:szCs w:val="20"/>
          <w:lang w:val="en-US"/>
        </w:rPr>
        <w:t>item</w:t>
      </w:r>
      <w:r>
        <w:rPr>
          <w:rFonts w:ascii="Trebuchet MS" w:hAnsi="Trebuchet MS"/>
          <w:sz w:val="20"/>
          <w:szCs w:val="20"/>
          <w:lang w:val="en-US"/>
        </w:rPr>
        <w:t xml:space="preserve">. </w:t>
      </w:r>
      <w:r w:rsidRPr="00882423">
        <w:rPr>
          <w:rFonts w:ascii="Trebuchet MS" w:hAnsi="Trebuchet MS" w:cs="Arial"/>
          <w:sz w:val="20"/>
          <w:szCs w:val="20"/>
        </w:rPr>
        <w:t xml:space="preserve">During 2019 and 2020 AEI has incurred start-up costs, including audit fees, employee salaries and other expenses.  This has resulted in AEI making a loss in the </w:t>
      </w:r>
      <w:proofErr w:type="spellStart"/>
      <w:r w:rsidRPr="00882423">
        <w:rPr>
          <w:rFonts w:ascii="Trebuchet MS" w:hAnsi="Trebuchet MS" w:cs="Arial"/>
          <w:sz w:val="20"/>
          <w:szCs w:val="20"/>
        </w:rPr>
        <w:t>P&amp;L</w:t>
      </w:r>
      <w:proofErr w:type="spellEnd"/>
      <w:r w:rsidRPr="00882423">
        <w:rPr>
          <w:rFonts w:ascii="Trebuchet MS" w:hAnsi="Trebuchet MS" w:cs="Arial"/>
          <w:sz w:val="20"/>
          <w:szCs w:val="20"/>
        </w:rPr>
        <w:t xml:space="preserve"> prior to the Part VII. These losses were taken into account in the capital injected in May 2020, where an amount of the capital was included to cover the expected expenses for 2020. Following the Part VII AEI will generate earnings and begin to make profits as set out in the business plan submitted to the DNB and reported in the AEI </w:t>
      </w:r>
      <w:proofErr w:type="spellStart"/>
      <w:r w:rsidRPr="00882423">
        <w:rPr>
          <w:rFonts w:ascii="Trebuchet MS" w:hAnsi="Trebuchet MS" w:cs="Arial"/>
          <w:sz w:val="20"/>
          <w:szCs w:val="20"/>
        </w:rPr>
        <w:t>ORSA</w:t>
      </w:r>
      <w:proofErr w:type="spellEnd"/>
      <w:r w:rsidRPr="00882423">
        <w:rPr>
          <w:rFonts w:ascii="Trebuchet MS" w:hAnsi="Trebuchet MS" w:cs="Arial"/>
          <w:sz w:val="20"/>
          <w:szCs w:val="20"/>
        </w:rPr>
        <w:t>.</w:t>
      </w:r>
    </w:p>
    <w:p w14:paraId="4D04AE4A" w14:textId="2461C359" w:rsidR="00660597" w:rsidRPr="007337C6" w:rsidRDefault="00134DC7" w:rsidP="001B4EF7">
      <w:pPr>
        <w:rPr>
          <w:rFonts w:ascii="Trebuchet MS" w:hAnsi="Trebuchet MS"/>
          <w:sz w:val="20"/>
          <w:szCs w:val="20"/>
          <w:lang w:val="en-US"/>
        </w:rPr>
      </w:pPr>
      <w:r>
        <w:rPr>
          <w:rFonts w:ascii="Trebuchet MS" w:hAnsi="Trebuchet MS"/>
          <w:sz w:val="20"/>
          <w:szCs w:val="20"/>
          <w:lang w:val="en-US"/>
        </w:rPr>
        <w:t>C</w:t>
      </w:r>
      <w:r w:rsidR="007E106F">
        <w:rPr>
          <w:rFonts w:ascii="Trebuchet MS" w:hAnsi="Trebuchet MS"/>
          <w:sz w:val="20"/>
          <w:szCs w:val="20"/>
          <w:lang w:val="en-US"/>
        </w:rPr>
        <w:t xml:space="preserve">omparing </w:t>
      </w:r>
      <w:r w:rsidR="00CF1EC0">
        <w:rPr>
          <w:rFonts w:ascii="Trebuchet MS" w:hAnsi="Trebuchet MS"/>
          <w:sz w:val="20"/>
          <w:szCs w:val="20"/>
          <w:lang w:val="en-US"/>
        </w:rPr>
        <w:t xml:space="preserve">the </w:t>
      </w:r>
      <w:r w:rsidR="007E106F">
        <w:rPr>
          <w:rFonts w:ascii="Trebuchet MS" w:hAnsi="Trebuchet MS"/>
          <w:sz w:val="20"/>
          <w:szCs w:val="20"/>
          <w:lang w:val="en-US"/>
        </w:rPr>
        <w:t>initial report and supplementary report</w:t>
      </w:r>
      <w:r>
        <w:rPr>
          <w:rFonts w:ascii="Trebuchet MS" w:hAnsi="Trebuchet MS"/>
          <w:sz w:val="20"/>
          <w:szCs w:val="20"/>
          <w:lang w:val="en-US"/>
        </w:rPr>
        <w:t xml:space="preserve"> tables for YE19, t</w:t>
      </w:r>
      <w:r w:rsidR="00660597">
        <w:rPr>
          <w:rFonts w:ascii="Trebuchet MS" w:hAnsi="Trebuchet MS"/>
          <w:sz w:val="20"/>
          <w:szCs w:val="20"/>
          <w:lang w:val="en-US"/>
        </w:rPr>
        <w:t>he increase in AGIL’s Own Funds and the reduction in the SCR as at YE19 is due to a longer contract boundary span as detailed below in this section and in section 4.</w:t>
      </w:r>
      <w:r w:rsidR="007E106F">
        <w:rPr>
          <w:rFonts w:ascii="Trebuchet MS" w:hAnsi="Trebuchet MS"/>
          <w:sz w:val="20"/>
          <w:szCs w:val="20"/>
          <w:lang w:val="en-US"/>
        </w:rPr>
        <w:t xml:space="preserve"> The reduction</w:t>
      </w:r>
      <w:r w:rsidR="00660597">
        <w:rPr>
          <w:rFonts w:ascii="Trebuchet MS" w:hAnsi="Trebuchet MS"/>
          <w:sz w:val="20"/>
          <w:szCs w:val="20"/>
          <w:lang w:val="en-US"/>
        </w:rPr>
        <w:t xml:space="preserve"> </w:t>
      </w:r>
      <w:r>
        <w:rPr>
          <w:rFonts w:ascii="Trebuchet MS" w:hAnsi="Trebuchet MS"/>
          <w:sz w:val="20"/>
          <w:szCs w:val="20"/>
          <w:lang w:val="en-US"/>
        </w:rPr>
        <w:t>in LGI Own Funds post-transfer is due to increased dividend</w:t>
      </w:r>
      <w:r w:rsidR="006C51A9">
        <w:rPr>
          <w:rStyle w:val="FootnoteReference"/>
          <w:rFonts w:ascii="Trebuchet MS" w:hAnsi="Trebuchet MS"/>
          <w:sz w:val="20"/>
          <w:szCs w:val="20"/>
          <w:lang w:val="en-US"/>
        </w:rPr>
        <w:footnoteReference w:id="4"/>
      </w:r>
      <w:r>
        <w:rPr>
          <w:rFonts w:ascii="Trebuchet MS" w:hAnsi="Trebuchet MS"/>
          <w:sz w:val="20"/>
          <w:szCs w:val="20"/>
          <w:lang w:val="en-US"/>
        </w:rPr>
        <w:t xml:space="preserve"> payment as detailed in section 4.2.1.</w:t>
      </w:r>
    </w:p>
    <w:p w14:paraId="63A328B8" w14:textId="4C091770" w:rsidR="001B4EF7" w:rsidRPr="007337C6" w:rsidRDefault="001B4EF7" w:rsidP="001B4EF7">
      <w:pPr>
        <w:rPr>
          <w:rFonts w:ascii="Trebuchet MS" w:hAnsi="Trebuchet MS"/>
          <w:sz w:val="20"/>
          <w:szCs w:val="20"/>
          <w:lang w:val="en-US"/>
        </w:rPr>
      </w:pPr>
      <w:r w:rsidRPr="007337C6">
        <w:rPr>
          <w:rFonts w:ascii="Trebuchet MS" w:hAnsi="Trebuchet MS"/>
          <w:sz w:val="20"/>
          <w:szCs w:val="20"/>
          <w:lang w:val="en-US"/>
        </w:rPr>
        <w:t xml:space="preserve">Note that </w:t>
      </w:r>
      <w:r w:rsidR="009755E1" w:rsidRPr="007337C6">
        <w:rPr>
          <w:rFonts w:ascii="Trebuchet MS" w:hAnsi="Trebuchet MS"/>
          <w:sz w:val="20"/>
          <w:szCs w:val="20"/>
          <w:lang w:val="en-US"/>
        </w:rPr>
        <w:t xml:space="preserve">in the initial report </w:t>
      </w:r>
      <w:r w:rsidR="00C407B1" w:rsidRPr="007337C6">
        <w:rPr>
          <w:rFonts w:ascii="Trebuchet MS" w:hAnsi="Trebuchet MS"/>
          <w:sz w:val="20"/>
          <w:szCs w:val="20"/>
          <w:lang w:val="en-US"/>
        </w:rPr>
        <w:t>the Transfer</w:t>
      </w:r>
      <w:r w:rsidRPr="007337C6">
        <w:rPr>
          <w:rFonts w:ascii="Trebuchet MS" w:hAnsi="Trebuchet MS"/>
          <w:sz w:val="20"/>
          <w:szCs w:val="20"/>
          <w:lang w:val="en-US"/>
        </w:rPr>
        <w:t xml:space="preserve"> </w:t>
      </w:r>
      <w:r w:rsidR="00F35C32" w:rsidRPr="007337C6">
        <w:rPr>
          <w:rFonts w:ascii="Trebuchet MS" w:hAnsi="Trebuchet MS"/>
          <w:sz w:val="20"/>
          <w:szCs w:val="20"/>
          <w:lang w:val="en-US"/>
        </w:rPr>
        <w:t xml:space="preserve">was </w:t>
      </w:r>
      <w:r w:rsidRPr="007337C6">
        <w:rPr>
          <w:rFonts w:ascii="Trebuchet MS" w:hAnsi="Trebuchet MS"/>
          <w:sz w:val="20"/>
          <w:szCs w:val="20"/>
          <w:lang w:val="en-US"/>
        </w:rPr>
        <w:t>assessed at Year End 2019 (YE19) on a “as-if” basis</w:t>
      </w:r>
      <w:r w:rsidRPr="007337C6">
        <w:rPr>
          <w:rStyle w:val="FootnoteReference"/>
          <w:rFonts w:ascii="Trebuchet MS" w:hAnsi="Trebuchet MS"/>
          <w:sz w:val="20"/>
          <w:szCs w:val="20"/>
          <w:lang w:val="en-US"/>
        </w:rPr>
        <w:footnoteReference w:id="5"/>
      </w:r>
      <w:r w:rsidRPr="007337C6">
        <w:rPr>
          <w:rFonts w:ascii="Trebuchet MS" w:hAnsi="Trebuchet MS"/>
          <w:sz w:val="20"/>
          <w:szCs w:val="20"/>
          <w:lang w:val="en-US"/>
        </w:rPr>
        <w:t xml:space="preserve"> and at the end of the third quarter of 2020 (3Q20)</w:t>
      </w:r>
      <w:r w:rsidRPr="007337C6">
        <w:rPr>
          <w:rStyle w:val="FootnoteReference"/>
          <w:rFonts w:ascii="Trebuchet MS" w:hAnsi="Trebuchet MS"/>
          <w:sz w:val="20"/>
          <w:szCs w:val="20"/>
          <w:lang w:val="en-US"/>
        </w:rPr>
        <w:footnoteReference w:id="6"/>
      </w:r>
      <w:r w:rsidRPr="007337C6">
        <w:rPr>
          <w:rFonts w:ascii="Trebuchet MS" w:hAnsi="Trebuchet MS"/>
          <w:sz w:val="20"/>
          <w:szCs w:val="20"/>
          <w:lang w:val="en-US"/>
        </w:rPr>
        <w:t xml:space="preserve">. </w:t>
      </w:r>
      <w:r w:rsidR="009755E1" w:rsidRPr="007337C6">
        <w:rPr>
          <w:rFonts w:ascii="Trebuchet MS" w:hAnsi="Trebuchet MS"/>
          <w:sz w:val="20"/>
          <w:szCs w:val="20"/>
          <w:lang w:val="en-US"/>
        </w:rPr>
        <w:t xml:space="preserve">In the current supplementary report, </w:t>
      </w:r>
      <w:r w:rsidR="003675A1" w:rsidRPr="007337C6">
        <w:rPr>
          <w:rFonts w:ascii="Trebuchet MS" w:hAnsi="Trebuchet MS"/>
          <w:sz w:val="20"/>
          <w:szCs w:val="20"/>
          <w:lang w:val="en-US"/>
        </w:rPr>
        <w:t xml:space="preserve">we have provided updated numbers for the YE19 and 3Q20 positions and </w:t>
      </w:r>
      <w:r w:rsidR="009755E1" w:rsidRPr="007337C6">
        <w:rPr>
          <w:rFonts w:ascii="Trebuchet MS" w:hAnsi="Trebuchet MS"/>
          <w:sz w:val="20"/>
          <w:szCs w:val="20"/>
          <w:lang w:val="en-US"/>
        </w:rPr>
        <w:t xml:space="preserve">the 2Q20 position has been provided in addition. </w:t>
      </w:r>
      <w:r w:rsidR="00F23FFC" w:rsidRPr="007337C6">
        <w:rPr>
          <w:rFonts w:ascii="Trebuchet MS" w:hAnsi="Trebuchet MS"/>
          <w:sz w:val="20"/>
          <w:szCs w:val="20"/>
          <w:lang w:val="en-US"/>
        </w:rPr>
        <w:t>In the presentation of the transfer to AEI as at YE19 and 2Q20, AEI does not have any business represented. However, there is 3 months’ worth of business in AEI before the Transfer in the 3Q20 position with the difference in approach being largely presentational in nature</w:t>
      </w:r>
      <w:r w:rsidRPr="007337C6">
        <w:rPr>
          <w:rFonts w:ascii="Trebuchet MS" w:hAnsi="Trebuchet MS"/>
          <w:sz w:val="20"/>
          <w:szCs w:val="20"/>
          <w:lang w:val="en-US"/>
        </w:rPr>
        <w:t xml:space="preserve">. </w:t>
      </w:r>
    </w:p>
    <w:p w14:paraId="6648C8D9" w14:textId="658D455F" w:rsidR="00333C57" w:rsidRPr="007337C6" w:rsidRDefault="00333C57" w:rsidP="003D5A56">
      <w:pPr>
        <w:rPr>
          <w:rFonts w:ascii="Trebuchet MS" w:hAnsi="Trebuchet MS"/>
          <w:sz w:val="20"/>
          <w:szCs w:val="20"/>
          <w:lang w:val="en-US"/>
        </w:rPr>
      </w:pPr>
      <w:r w:rsidRPr="007337C6">
        <w:rPr>
          <w:rFonts w:ascii="Trebuchet MS" w:hAnsi="Trebuchet MS"/>
          <w:sz w:val="20"/>
          <w:szCs w:val="20"/>
          <w:lang w:val="en-US"/>
        </w:rPr>
        <w:t xml:space="preserve">There have been few changes </w:t>
      </w:r>
      <w:r w:rsidR="003675A1" w:rsidRPr="007337C6">
        <w:rPr>
          <w:rFonts w:ascii="Trebuchet MS" w:hAnsi="Trebuchet MS"/>
          <w:sz w:val="20"/>
          <w:szCs w:val="20"/>
          <w:lang w:val="en-US"/>
        </w:rPr>
        <w:t>impacting</w:t>
      </w:r>
      <w:r w:rsidRPr="007337C6">
        <w:rPr>
          <w:rFonts w:ascii="Trebuchet MS" w:hAnsi="Trebuchet MS"/>
          <w:sz w:val="20"/>
          <w:szCs w:val="20"/>
          <w:lang w:val="en-US"/>
        </w:rPr>
        <w:t xml:space="preserve"> the financials since the issuance of the initial report:</w:t>
      </w:r>
    </w:p>
    <w:p w14:paraId="074BF9DC" w14:textId="0DF430A9" w:rsidR="00F35C32" w:rsidRPr="007337C6" w:rsidRDefault="00F35C32" w:rsidP="00F35C32">
      <w:pPr>
        <w:rPr>
          <w:rFonts w:ascii="Trebuchet MS" w:hAnsi="Trebuchet MS"/>
          <w:sz w:val="20"/>
          <w:szCs w:val="20"/>
          <w:lang w:val="en-US"/>
        </w:rPr>
      </w:pPr>
      <w:r w:rsidRPr="007337C6">
        <w:rPr>
          <w:rFonts w:ascii="Trebuchet MS" w:hAnsi="Trebuchet MS"/>
          <w:b/>
          <w:bCs/>
          <w:i/>
          <w:iCs/>
          <w:sz w:val="20"/>
          <w:szCs w:val="20"/>
          <w:lang w:val="en-US"/>
        </w:rPr>
        <w:t>Arm’s length transactions -</w:t>
      </w:r>
      <w:r w:rsidRPr="007337C6">
        <w:rPr>
          <w:rFonts w:ascii="Trebuchet MS" w:hAnsi="Trebuchet MS"/>
          <w:sz w:val="20"/>
          <w:szCs w:val="20"/>
          <w:lang w:val="en-US"/>
        </w:rPr>
        <w:t xml:space="preserve"> One key change in accounting approach is that the transactions (sale of portfolios from AGIL/LGI to AE</w:t>
      </w:r>
      <w:r w:rsidR="00F92FF1" w:rsidRPr="007337C6">
        <w:rPr>
          <w:rFonts w:ascii="Trebuchet MS" w:hAnsi="Trebuchet MS"/>
          <w:sz w:val="20"/>
          <w:szCs w:val="20"/>
          <w:lang w:val="en-US"/>
        </w:rPr>
        <w:t>I</w:t>
      </w:r>
      <w:r w:rsidRPr="007337C6">
        <w:rPr>
          <w:rFonts w:ascii="Trebuchet MS" w:hAnsi="Trebuchet MS"/>
          <w:sz w:val="20"/>
          <w:szCs w:val="20"/>
          <w:lang w:val="en-US"/>
        </w:rPr>
        <w:t>) should be at fair value and at arm’s length. Therefore, it should generate a financial gain/loss for the seller/buyer. Thus, there should be a price or premium to be paid by the buying party to the selling party. This was</w:t>
      </w:r>
      <w:r w:rsidR="003F1D1F">
        <w:rPr>
          <w:rFonts w:ascii="Trebuchet MS" w:hAnsi="Trebuchet MS"/>
          <w:sz w:val="20"/>
          <w:szCs w:val="20"/>
          <w:lang w:val="en-US"/>
        </w:rPr>
        <w:t xml:space="preserve"> no</w:t>
      </w:r>
      <w:r w:rsidRPr="007337C6">
        <w:rPr>
          <w:rFonts w:ascii="Trebuchet MS" w:hAnsi="Trebuchet MS"/>
          <w:sz w:val="20"/>
          <w:szCs w:val="20"/>
          <w:lang w:val="en-US"/>
        </w:rPr>
        <w:t xml:space="preserve">t explicitly considered in the initial report as these discussions were ongoing at the time that report was prepared. </w:t>
      </w:r>
      <w:r w:rsidR="00C14B1A" w:rsidRPr="007337C6">
        <w:rPr>
          <w:rFonts w:ascii="Trebuchet MS" w:hAnsi="Trebuchet MS"/>
          <w:sz w:val="20"/>
          <w:szCs w:val="20"/>
          <w:lang w:val="en-US"/>
        </w:rPr>
        <w:t>The financials in section 4.2 of this report allow for the arm’s length transaction approach, showing the fair-value price paid by AEI to AGIL and LGI to acquire the transferring businesses.</w:t>
      </w:r>
      <w:r w:rsidR="00E328A9" w:rsidRPr="007337C6">
        <w:rPr>
          <w:rFonts w:ascii="Trebuchet MS" w:hAnsi="Trebuchet MS"/>
          <w:sz w:val="20"/>
          <w:szCs w:val="20"/>
          <w:lang w:val="en-US"/>
        </w:rPr>
        <w:t xml:space="preserve"> </w:t>
      </w:r>
    </w:p>
    <w:p w14:paraId="27EAB5E4" w14:textId="77777777" w:rsidR="001C2805" w:rsidRDefault="00B11763" w:rsidP="006C5658">
      <w:pPr>
        <w:rPr>
          <w:rFonts w:ascii="Trebuchet MS" w:hAnsi="Trebuchet MS"/>
          <w:sz w:val="20"/>
          <w:szCs w:val="20"/>
          <w:lang w:val="en-US"/>
        </w:rPr>
      </w:pPr>
      <w:r w:rsidRPr="007337C6">
        <w:rPr>
          <w:rFonts w:ascii="Trebuchet MS" w:hAnsi="Trebuchet MS"/>
          <w:b/>
          <w:bCs/>
          <w:i/>
          <w:iCs/>
          <w:sz w:val="20"/>
          <w:szCs w:val="20"/>
          <w:lang w:val="en-US"/>
        </w:rPr>
        <w:t>C</w:t>
      </w:r>
      <w:r w:rsidR="00333C57" w:rsidRPr="007337C6">
        <w:rPr>
          <w:rFonts w:ascii="Trebuchet MS" w:hAnsi="Trebuchet MS"/>
          <w:b/>
          <w:bCs/>
          <w:i/>
          <w:iCs/>
          <w:sz w:val="20"/>
          <w:szCs w:val="20"/>
          <w:lang w:val="en-US"/>
        </w:rPr>
        <w:t>ontract boundary</w:t>
      </w:r>
      <w:r w:rsidRPr="007337C6">
        <w:rPr>
          <w:rFonts w:ascii="Trebuchet MS" w:hAnsi="Trebuchet MS"/>
          <w:b/>
          <w:bCs/>
          <w:i/>
          <w:iCs/>
          <w:sz w:val="20"/>
          <w:szCs w:val="20"/>
          <w:lang w:val="en-US"/>
        </w:rPr>
        <w:t xml:space="preserve"> on some UK schemes</w:t>
      </w:r>
      <w:r w:rsidR="00333C57" w:rsidRPr="007337C6">
        <w:rPr>
          <w:rFonts w:ascii="Trebuchet MS" w:hAnsi="Trebuchet MS"/>
          <w:b/>
          <w:bCs/>
          <w:i/>
          <w:iCs/>
          <w:sz w:val="20"/>
          <w:szCs w:val="20"/>
          <w:lang w:val="en-US"/>
        </w:rPr>
        <w:t xml:space="preserve"> –</w:t>
      </w:r>
      <w:r w:rsidR="00333C57" w:rsidRPr="007337C6">
        <w:rPr>
          <w:rFonts w:ascii="Trebuchet MS" w:hAnsi="Trebuchet MS"/>
          <w:sz w:val="20"/>
          <w:szCs w:val="20"/>
          <w:lang w:val="en-US"/>
        </w:rPr>
        <w:t xml:space="preserve"> </w:t>
      </w:r>
      <w:r w:rsidR="004C311D" w:rsidRPr="007337C6">
        <w:rPr>
          <w:rFonts w:ascii="Trebuchet MS" w:hAnsi="Trebuchet MS"/>
          <w:sz w:val="20"/>
          <w:szCs w:val="20"/>
          <w:lang w:val="en-US"/>
        </w:rPr>
        <w:t>as noted in the</w:t>
      </w:r>
      <w:r w:rsidR="00F92FF1" w:rsidRPr="007337C6">
        <w:rPr>
          <w:rFonts w:ascii="Trebuchet MS" w:hAnsi="Trebuchet MS"/>
          <w:sz w:val="20"/>
          <w:szCs w:val="20"/>
          <w:lang w:val="en-US"/>
        </w:rPr>
        <w:t xml:space="preserve"> initial</w:t>
      </w:r>
      <w:r w:rsidR="004C311D" w:rsidRPr="007337C6">
        <w:rPr>
          <w:rFonts w:ascii="Trebuchet MS" w:hAnsi="Trebuchet MS"/>
          <w:sz w:val="20"/>
          <w:szCs w:val="20"/>
          <w:lang w:val="en-US"/>
        </w:rPr>
        <w:t xml:space="preserve"> Chief Actuary report, at the time of writing</w:t>
      </w:r>
      <w:r w:rsidR="00F92FF1" w:rsidRPr="007337C6">
        <w:rPr>
          <w:rFonts w:ascii="Trebuchet MS" w:hAnsi="Trebuchet MS"/>
          <w:sz w:val="20"/>
          <w:szCs w:val="20"/>
          <w:lang w:val="en-US"/>
        </w:rPr>
        <w:t xml:space="preserve"> it</w:t>
      </w:r>
      <w:r w:rsidR="004C311D" w:rsidRPr="007337C6">
        <w:rPr>
          <w:rFonts w:ascii="Trebuchet MS" w:hAnsi="Trebuchet MS"/>
          <w:sz w:val="20"/>
          <w:szCs w:val="20"/>
          <w:lang w:val="en-US"/>
        </w:rPr>
        <w:t xml:space="preserve">, the contract boundary status of </w:t>
      </w:r>
      <w:r w:rsidR="006F5D27" w:rsidRPr="007337C6">
        <w:rPr>
          <w:rFonts w:ascii="Trebuchet MS" w:hAnsi="Trebuchet MS" w:cs="Arial"/>
          <w:sz w:val="20"/>
          <w:szCs w:val="20"/>
        </w:rPr>
        <w:t xml:space="preserve">certain UK schemes within AGIL was under review in respect of their reprice clauses. Since the </w:t>
      </w:r>
      <w:r w:rsidR="00F92FF1" w:rsidRPr="007337C6">
        <w:rPr>
          <w:rFonts w:ascii="Trebuchet MS" w:hAnsi="Trebuchet MS" w:cs="Arial"/>
          <w:sz w:val="20"/>
          <w:szCs w:val="20"/>
        </w:rPr>
        <w:t xml:space="preserve">initial </w:t>
      </w:r>
      <w:r w:rsidR="006F5D27" w:rsidRPr="007337C6">
        <w:rPr>
          <w:rFonts w:ascii="Trebuchet MS" w:hAnsi="Trebuchet MS" w:cs="Arial"/>
          <w:sz w:val="20"/>
          <w:szCs w:val="20"/>
        </w:rPr>
        <w:t xml:space="preserve">Chief Actuary report was issued, this review has completed following AGIL’s </w:t>
      </w:r>
      <w:r w:rsidR="00B50C83" w:rsidRPr="007337C6">
        <w:rPr>
          <w:rFonts w:ascii="Trebuchet MS" w:hAnsi="Trebuchet MS" w:cs="Arial"/>
          <w:sz w:val="20"/>
          <w:szCs w:val="20"/>
        </w:rPr>
        <w:t>year-end</w:t>
      </w:r>
      <w:r w:rsidR="006F5D27" w:rsidRPr="007337C6">
        <w:rPr>
          <w:rFonts w:ascii="Trebuchet MS" w:hAnsi="Trebuchet MS" w:cs="Arial"/>
          <w:sz w:val="20"/>
          <w:szCs w:val="20"/>
        </w:rPr>
        <w:t xml:space="preserve"> audit and has resulted in a reduction in technical provision</w:t>
      </w:r>
      <w:r w:rsidR="00F92FF1" w:rsidRPr="007337C6">
        <w:rPr>
          <w:rFonts w:ascii="Trebuchet MS" w:hAnsi="Trebuchet MS" w:cs="Arial"/>
          <w:sz w:val="20"/>
          <w:szCs w:val="20"/>
        </w:rPr>
        <w:t>s</w:t>
      </w:r>
      <w:r w:rsidR="006F5D27" w:rsidRPr="007337C6">
        <w:rPr>
          <w:rFonts w:ascii="Trebuchet MS" w:hAnsi="Trebuchet MS" w:cs="Arial"/>
          <w:sz w:val="20"/>
          <w:szCs w:val="20"/>
        </w:rPr>
        <w:t xml:space="preserve"> applied at Q4 2019 of </w:t>
      </w:r>
      <w:r w:rsidR="00F722E7" w:rsidRPr="007337C6">
        <w:rPr>
          <w:rFonts w:ascii="Trebuchet MS" w:hAnsi="Trebuchet MS" w:cs="Arial"/>
          <w:sz w:val="20"/>
          <w:szCs w:val="20"/>
        </w:rPr>
        <w:t>approx</w:t>
      </w:r>
      <w:r w:rsidR="00683E06" w:rsidRPr="007337C6">
        <w:rPr>
          <w:rFonts w:ascii="Trebuchet MS" w:hAnsi="Trebuchet MS" w:cs="Arial"/>
          <w:sz w:val="20"/>
          <w:szCs w:val="20"/>
        </w:rPr>
        <w:t xml:space="preserve">imately </w:t>
      </w:r>
      <w:r w:rsidR="00F722E7" w:rsidRPr="007337C6">
        <w:rPr>
          <w:rFonts w:ascii="Trebuchet MS" w:hAnsi="Trebuchet MS" w:cs="Arial"/>
          <w:sz w:val="20"/>
          <w:szCs w:val="20"/>
        </w:rPr>
        <w:t>£</w:t>
      </w:r>
      <w:r w:rsidR="00660597">
        <w:rPr>
          <w:rFonts w:ascii="Trebuchet MS" w:hAnsi="Trebuchet MS" w:cs="Arial"/>
          <w:sz w:val="20"/>
          <w:szCs w:val="20"/>
        </w:rPr>
        <w:t>7</w:t>
      </w:r>
      <w:r w:rsidR="00F722E7" w:rsidRPr="007337C6">
        <w:rPr>
          <w:rFonts w:ascii="Trebuchet MS" w:hAnsi="Trebuchet MS" w:cs="Arial"/>
          <w:sz w:val="20"/>
          <w:szCs w:val="20"/>
        </w:rPr>
        <w:t xml:space="preserve">m </w:t>
      </w:r>
      <w:r w:rsidR="006F5D27" w:rsidRPr="007337C6">
        <w:rPr>
          <w:rFonts w:ascii="Trebuchet MS" w:hAnsi="Trebuchet MS" w:cs="Arial"/>
          <w:sz w:val="20"/>
          <w:szCs w:val="20"/>
        </w:rPr>
        <w:t xml:space="preserve">offset by an increase in SCR of </w:t>
      </w:r>
      <w:r w:rsidR="00F722E7" w:rsidRPr="007337C6">
        <w:rPr>
          <w:rFonts w:ascii="Trebuchet MS" w:hAnsi="Trebuchet MS" w:cs="Arial"/>
          <w:sz w:val="20"/>
          <w:szCs w:val="20"/>
        </w:rPr>
        <w:t>£4m</w:t>
      </w:r>
      <w:r w:rsidR="00683E06" w:rsidRPr="007337C6">
        <w:rPr>
          <w:rFonts w:ascii="Trebuchet MS" w:hAnsi="Trebuchet MS" w:cs="Arial"/>
          <w:sz w:val="20"/>
          <w:szCs w:val="20"/>
        </w:rPr>
        <w:t xml:space="preserve"> approximately</w:t>
      </w:r>
      <w:r w:rsidR="006F5D27" w:rsidRPr="007337C6">
        <w:rPr>
          <w:rFonts w:ascii="Trebuchet MS" w:hAnsi="Trebuchet MS" w:cs="Arial"/>
          <w:sz w:val="20"/>
          <w:szCs w:val="20"/>
        </w:rPr>
        <w:t xml:space="preserve"> to allow for a 2 year period </w:t>
      </w:r>
      <w:r w:rsidR="00F92FF1" w:rsidRPr="007337C6">
        <w:rPr>
          <w:rFonts w:ascii="Trebuchet MS" w:hAnsi="Trebuchet MS" w:cs="Arial"/>
          <w:sz w:val="20"/>
          <w:szCs w:val="20"/>
        </w:rPr>
        <w:t xml:space="preserve">contract boundary </w:t>
      </w:r>
      <w:r w:rsidR="006F5D27" w:rsidRPr="007337C6">
        <w:rPr>
          <w:rFonts w:ascii="Trebuchet MS" w:hAnsi="Trebuchet MS" w:cs="Arial"/>
          <w:sz w:val="20"/>
          <w:szCs w:val="20"/>
        </w:rPr>
        <w:t xml:space="preserve">until this business </w:t>
      </w:r>
      <w:proofErr w:type="gramStart"/>
      <w:r w:rsidR="006F5D27" w:rsidRPr="007337C6">
        <w:rPr>
          <w:rFonts w:ascii="Trebuchet MS" w:hAnsi="Trebuchet MS" w:cs="Arial"/>
          <w:sz w:val="20"/>
          <w:szCs w:val="20"/>
        </w:rPr>
        <w:t xml:space="preserve">expires </w:t>
      </w:r>
      <w:r w:rsidR="001C2805" w:rsidRPr="007337C6">
        <w:rPr>
          <w:rFonts w:ascii="Trebuchet MS" w:hAnsi="Trebuchet MS" w:cs="Arial"/>
          <w:sz w:val="20"/>
          <w:szCs w:val="20"/>
        </w:rPr>
        <w:t xml:space="preserve"> –</w:t>
      </w:r>
      <w:proofErr w:type="gramEnd"/>
      <w:r w:rsidR="001C2805" w:rsidRPr="007337C6">
        <w:rPr>
          <w:rFonts w:ascii="Trebuchet MS" w:hAnsi="Trebuchet MS" w:cs="Arial"/>
          <w:sz w:val="20"/>
          <w:szCs w:val="20"/>
        </w:rPr>
        <w:t xml:space="preserve"> </w:t>
      </w:r>
      <w:r w:rsidR="001C2805">
        <w:rPr>
          <w:rFonts w:ascii="Trebuchet MS" w:hAnsi="Trebuchet MS" w:cs="Arial"/>
          <w:sz w:val="20"/>
          <w:szCs w:val="20"/>
        </w:rPr>
        <w:t>this increase in contract boundary was implemented at Q1 2020</w:t>
      </w:r>
      <w:r w:rsidR="001C2805" w:rsidRPr="007337C6">
        <w:rPr>
          <w:rFonts w:ascii="Trebuchet MS" w:hAnsi="Trebuchet MS" w:cs="Arial"/>
          <w:sz w:val="20"/>
          <w:szCs w:val="20"/>
        </w:rPr>
        <w:t>.</w:t>
      </w:r>
      <w:r w:rsidR="001C2805" w:rsidRPr="007337C6">
        <w:rPr>
          <w:rFonts w:ascii="Trebuchet MS" w:hAnsi="Trebuchet MS"/>
          <w:sz w:val="20"/>
          <w:szCs w:val="20"/>
          <w:lang w:val="en-US"/>
        </w:rPr>
        <w:t xml:space="preserve"> The YE19 financials have been updated accordingly in this report.</w:t>
      </w:r>
    </w:p>
    <w:p w14:paraId="7CA92F4F" w14:textId="1375C3F1" w:rsidR="003D5A56" w:rsidRPr="007337C6" w:rsidRDefault="00AD43C4" w:rsidP="006C5658">
      <w:pPr>
        <w:rPr>
          <w:rFonts w:ascii="Trebuchet MS" w:hAnsi="Trebuchet MS"/>
          <w:sz w:val="20"/>
          <w:szCs w:val="20"/>
          <w:lang w:val="en-US"/>
        </w:rPr>
      </w:pPr>
      <w:r w:rsidRPr="007337C6">
        <w:rPr>
          <w:rFonts w:ascii="Trebuchet MS" w:hAnsi="Trebuchet MS"/>
          <w:b/>
          <w:bCs/>
          <w:i/>
          <w:iCs/>
          <w:sz w:val="20"/>
          <w:szCs w:val="20"/>
          <w:lang w:val="en-US"/>
        </w:rPr>
        <w:t xml:space="preserve">Transferring portfolio (assets and liabilities) neutral on Solvency II basis </w:t>
      </w:r>
      <w:r w:rsidR="00D55E88" w:rsidRPr="007337C6">
        <w:rPr>
          <w:rFonts w:ascii="Trebuchet MS" w:hAnsi="Trebuchet MS"/>
          <w:b/>
          <w:bCs/>
          <w:i/>
          <w:iCs/>
          <w:sz w:val="20"/>
          <w:szCs w:val="20"/>
          <w:lang w:val="en-US"/>
        </w:rPr>
        <w:t>–</w:t>
      </w:r>
      <w:r w:rsidRPr="007337C6">
        <w:rPr>
          <w:rFonts w:ascii="Trebuchet MS" w:hAnsi="Trebuchet MS"/>
          <w:sz w:val="20"/>
          <w:szCs w:val="20"/>
          <w:lang w:val="en-US"/>
        </w:rPr>
        <w:t xml:space="preserve"> </w:t>
      </w:r>
      <w:r w:rsidR="00D55E88" w:rsidRPr="007337C6">
        <w:rPr>
          <w:rFonts w:ascii="Trebuchet MS" w:hAnsi="Trebuchet MS"/>
          <w:sz w:val="20"/>
          <w:szCs w:val="20"/>
          <w:lang w:val="en-US"/>
        </w:rPr>
        <w:t>I</w:t>
      </w:r>
      <w:r w:rsidR="003D5A56" w:rsidRPr="007337C6">
        <w:rPr>
          <w:rFonts w:ascii="Trebuchet MS" w:hAnsi="Trebuchet MS"/>
          <w:sz w:val="20"/>
          <w:szCs w:val="20"/>
          <w:lang w:val="en-US"/>
        </w:rPr>
        <w:t>n the initial report it was assumed that the transferring portfolio of liabilities and assets would be profit/loss</w:t>
      </w:r>
      <w:r w:rsidR="00333C57" w:rsidRPr="007337C6">
        <w:rPr>
          <w:rFonts w:ascii="Trebuchet MS" w:hAnsi="Trebuchet MS"/>
          <w:sz w:val="20"/>
          <w:szCs w:val="20"/>
          <w:lang w:val="en-US"/>
        </w:rPr>
        <w:t xml:space="preserve"> </w:t>
      </w:r>
      <w:r w:rsidR="008E3ABC" w:rsidRPr="007337C6">
        <w:rPr>
          <w:rFonts w:ascii="Trebuchet MS" w:hAnsi="Trebuchet MS"/>
          <w:sz w:val="20"/>
          <w:szCs w:val="20"/>
          <w:lang w:val="en-US"/>
        </w:rPr>
        <w:t xml:space="preserve">neutral </w:t>
      </w:r>
      <w:r w:rsidR="00333C57" w:rsidRPr="007337C6">
        <w:rPr>
          <w:rFonts w:ascii="Trebuchet MS" w:hAnsi="Trebuchet MS"/>
          <w:sz w:val="20"/>
          <w:szCs w:val="20"/>
          <w:lang w:val="en-US"/>
        </w:rPr>
        <w:t xml:space="preserve">on </w:t>
      </w:r>
      <w:proofErr w:type="gramStart"/>
      <w:r w:rsidR="008E3ABC" w:rsidRPr="007337C6">
        <w:rPr>
          <w:rFonts w:ascii="Trebuchet MS" w:hAnsi="Trebuchet MS"/>
          <w:sz w:val="20"/>
          <w:szCs w:val="20"/>
          <w:lang w:val="en-US"/>
        </w:rPr>
        <w:t>an</w:t>
      </w:r>
      <w:proofErr w:type="gramEnd"/>
      <w:r w:rsidR="008E3ABC" w:rsidRPr="007337C6">
        <w:rPr>
          <w:rFonts w:ascii="Trebuchet MS" w:hAnsi="Trebuchet MS"/>
          <w:sz w:val="20"/>
          <w:szCs w:val="20"/>
          <w:lang w:val="en-US"/>
        </w:rPr>
        <w:t xml:space="preserve"> </w:t>
      </w:r>
      <w:r w:rsidR="00B50C83" w:rsidRPr="007337C6">
        <w:rPr>
          <w:rFonts w:ascii="Trebuchet MS" w:hAnsi="Trebuchet MS"/>
          <w:sz w:val="20"/>
          <w:szCs w:val="20"/>
          <w:lang w:val="en-US"/>
        </w:rPr>
        <w:t xml:space="preserve">GAAP </w:t>
      </w:r>
      <w:r w:rsidR="008E3ABC" w:rsidRPr="007337C6">
        <w:rPr>
          <w:rFonts w:ascii="Trebuchet MS" w:hAnsi="Trebuchet MS"/>
          <w:sz w:val="20"/>
          <w:szCs w:val="20"/>
          <w:lang w:val="en-US"/>
        </w:rPr>
        <w:t>accounting</w:t>
      </w:r>
      <w:r w:rsidR="00333C57" w:rsidRPr="007337C6">
        <w:rPr>
          <w:rFonts w:ascii="Trebuchet MS" w:hAnsi="Trebuchet MS"/>
          <w:sz w:val="20"/>
          <w:szCs w:val="20"/>
          <w:lang w:val="en-US"/>
        </w:rPr>
        <w:t xml:space="preserve"> basis</w:t>
      </w:r>
      <w:r w:rsidR="008E3ABC" w:rsidRPr="007337C6">
        <w:rPr>
          <w:rFonts w:ascii="Trebuchet MS" w:hAnsi="Trebuchet MS"/>
          <w:sz w:val="20"/>
          <w:szCs w:val="20"/>
          <w:lang w:val="en-US"/>
        </w:rPr>
        <w:t xml:space="preserve">.  This would mean </w:t>
      </w:r>
      <w:r w:rsidR="003D5A56" w:rsidRPr="007337C6">
        <w:rPr>
          <w:rFonts w:ascii="Trebuchet MS" w:hAnsi="Trebuchet MS"/>
          <w:sz w:val="20"/>
          <w:szCs w:val="20"/>
          <w:lang w:val="en-US"/>
        </w:rPr>
        <w:t xml:space="preserve">that the assets and liabilities being transferred are equal, </w:t>
      </w:r>
      <w:r w:rsidRPr="007337C6">
        <w:rPr>
          <w:rFonts w:ascii="Trebuchet MS" w:hAnsi="Trebuchet MS"/>
          <w:sz w:val="20"/>
          <w:szCs w:val="20"/>
          <w:lang w:val="en-US"/>
        </w:rPr>
        <w:t>while</w:t>
      </w:r>
      <w:r w:rsidR="003D5A56" w:rsidRPr="007337C6">
        <w:rPr>
          <w:rFonts w:ascii="Trebuchet MS" w:hAnsi="Trebuchet MS"/>
          <w:sz w:val="20"/>
          <w:szCs w:val="20"/>
          <w:lang w:val="en-US"/>
        </w:rPr>
        <w:t xml:space="preserve"> some profit/loss </w:t>
      </w:r>
      <w:r w:rsidRPr="007337C6">
        <w:rPr>
          <w:rFonts w:ascii="Trebuchet MS" w:hAnsi="Trebuchet MS"/>
          <w:sz w:val="20"/>
          <w:szCs w:val="20"/>
          <w:lang w:val="en-US"/>
        </w:rPr>
        <w:t xml:space="preserve">is </w:t>
      </w:r>
      <w:r w:rsidR="003D5A56" w:rsidRPr="007337C6">
        <w:rPr>
          <w:rFonts w:ascii="Trebuchet MS" w:hAnsi="Trebuchet MS"/>
          <w:sz w:val="20"/>
          <w:szCs w:val="20"/>
          <w:lang w:val="en-US"/>
        </w:rPr>
        <w:t xml:space="preserve">generated on Solvency II basis as Solvency II assets/liabilities valuation are different to the GAAP assets/liabilities valuation. </w:t>
      </w:r>
      <w:r w:rsidR="008E3ABC" w:rsidRPr="007337C6">
        <w:rPr>
          <w:rFonts w:ascii="Trebuchet MS" w:hAnsi="Trebuchet MS"/>
          <w:sz w:val="20"/>
          <w:szCs w:val="20"/>
          <w:lang w:val="en-US"/>
        </w:rPr>
        <w:t>This was because</w:t>
      </w:r>
      <w:r w:rsidR="003F1D1F">
        <w:rPr>
          <w:rFonts w:ascii="Trebuchet MS" w:hAnsi="Trebuchet MS"/>
          <w:sz w:val="20"/>
          <w:szCs w:val="20"/>
          <w:lang w:val="en-US"/>
        </w:rPr>
        <w:t>,</w:t>
      </w:r>
      <w:r w:rsidR="008E3ABC" w:rsidRPr="007337C6">
        <w:rPr>
          <w:rFonts w:ascii="Trebuchet MS" w:hAnsi="Trebuchet MS"/>
          <w:sz w:val="20"/>
          <w:szCs w:val="20"/>
          <w:lang w:val="en-US"/>
        </w:rPr>
        <w:t xml:space="preserve"> at the time of writing</w:t>
      </w:r>
      <w:r w:rsidR="00F92FF1" w:rsidRPr="007337C6">
        <w:rPr>
          <w:rFonts w:ascii="Trebuchet MS" w:hAnsi="Trebuchet MS"/>
          <w:sz w:val="20"/>
          <w:szCs w:val="20"/>
          <w:lang w:val="en-US"/>
        </w:rPr>
        <w:t xml:space="preserve"> the initial report</w:t>
      </w:r>
      <w:r w:rsidR="008E3ABC" w:rsidRPr="007337C6">
        <w:rPr>
          <w:rFonts w:ascii="Trebuchet MS" w:hAnsi="Trebuchet MS"/>
          <w:sz w:val="20"/>
          <w:szCs w:val="20"/>
          <w:lang w:val="en-US"/>
        </w:rPr>
        <w:t xml:space="preserve">, the terms of the transfer were under negotiation between the Boards of </w:t>
      </w:r>
      <w:proofErr w:type="spellStart"/>
      <w:r w:rsidR="008E3ABC" w:rsidRPr="007337C6">
        <w:rPr>
          <w:rFonts w:ascii="Trebuchet MS" w:hAnsi="Trebuchet MS"/>
          <w:sz w:val="20"/>
          <w:szCs w:val="20"/>
          <w:lang w:val="en-US"/>
        </w:rPr>
        <w:t>AGL</w:t>
      </w:r>
      <w:proofErr w:type="spellEnd"/>
      <w:r w:rsidR="008E3ABC" w:rsidRPr="007337C6">
        <w:rPr>
          <w:rFonts w:ascii="Trebuchet MS" w:hAnsi="Trebuchet MS"/>
          <w:sz w:val="20"/>
          <w:szCs w:val="20"/>
          <w:lang w:val="en-US"/>
        </w:rPr>
        <w:t>/</w:t>
      </w:r>
      <w:proofErr w:type="spellStart"/>
      <w:r w:rsidR="008E3ABC" w:rsidRPr="007337C6">
        <w:rPr>
          <w:rFonts w:ascii="Trebuchet MS" w:hAnsi="Trebuchet MS"/>
          <w:sz w:val="20"/>
          <w:szCs w:val="20"/>
          <w:lang w:val="en-US"/>
        </w:rPr>
        <w:t>TWGE</w:t>
      </w:r>
      <w:proofErr w:type="spellEnd"/>
      <w:r w:rsidR="008E3ABC" w:rsidRPr="007337C6">
        <w:rPr>
          <w:rFonts w:ascii="Trebuchet MS" w:hAnsi="Trebuchet MS"/>
          <w:sz w:val="20"/>
          <w:szCs w:val="20"/>
          <w:lang w:val="en-US"/>
        </w:rPr>
        <w:t xml:space="preserve"> and AEI/AEL.</w:t>
      </w:r>
      <w:r w:rsidR="00F92FF1" w:rsidRPr="007337C6">
        <w:rPr>
          <w:rFonts w:ascii="Trebuchet MS" w:hAnsi="Trebuchet MS"/>
          <w:sz w:val="20"/>
          <w:szCs w:val="20"/>
          <w:lang w:val="en-US"/>
        </w:rPr>
        <w:t xml:space="preserve"> </w:t>
      </w:r>
      <w:r w:rsidR="003A0C5D" w:rsidRPr="007337C6">
        <w:rPr>
          <w:rFonts w:ascii="Trebuchet MS" w:hAnsi="Trebuchet MS"/>
          <w:sz w:val="20"/>
          <w:szCs w:val="20"/>
          <w:lang w:val="en-US"/>
        </w:rPr>
        <w:t>In this supplementary report</w:t>
      </w:r>
      <w:r w:rsidR="003D5A56" w:rsidRPr="007337C6">
        <w:rPr>
          <w:rFonts w:ascii="Trebuchet MS" w:hAnsi="Trebuchet MS"/>
          <w:sz w:val="20"/>
          <w:szCs w:val="20"/>
          <w:lang w:val="en-US"/>
        </w:rPr>
        <w:t xml:space="preserve"> we have </w:t>
      </w:r>
      <w:r w:rsidR="008E3ABC" w:rsidRPr="007337C6">
        <w:rPr>
          <w:rFonts w:ascii="Trebuchet MS" w:hAnsi="Trebuchet MS"/>
          <w:sz w:val="20"/>
          <w:szCs w:val="20"/>
          <w:lang w:val="en-US"/>
        </w:rPr>
        <w:t xml:space="preserve">adopted an alternative approach </w:t>
      </w:r>
      <w:r w:rsidR="00370C1F" w:rsidRPr="007337C6">
        <w:rPr>
          <w:rFonts w:ascii="Trebuchet MS" w:hAnsi="Trebuchet MS"/>
          <w:sz w:val="20"/>
          <w:szCs w:val="20"/>
          <w:lang w:val="en-US"/>
        </w:rPr>
        <w:t>whereby</w:t>
      </w:r>
      <w:r w:rsidR="008E3ABC" w:rsidRPr="007337C6">
        <w:rPr>
          <w:rFonts w:ascii="Trebuchet MS" w:hAnsi="Trebuchet MS"/>
          <w:sz w:val="20"/>
          <w:szCs w:val="20"/>
          <w:lang w:val="en-US"/>
        </w:rPr>
        <w:t xml:space="preserve"> the </w:t>
      </w:r>
      <w:r w:rsidR="003D5A56" w:rsidRPr="007337C6">
        <w:rPr>
          <w:rFonts w:ascii="Trebuchet MS" w:hAnsi="Trebuchet MS"/>
          <w:sz w:val="20"/>
          <w:szCs w:val="20"/>
          <w:lang w:val="en-US"/>
        </w:rPr>
        <w:t xml:space="preserve">transfer is neutral on Solvency II basis and </w:t>
      </w:r>
      <w:r w:rsidR="003A0C5D" w:rsidRPr="007337C6">
        <w:rPr>
          <w:rFonts w:ascii="Trebuchet MS" w:hAnsi="Trebuchet MS"/>
          <w:sz w:val="20"/>
          <w:szCs w:val="20"/>
          <w:lang w:val="en-US"/>
        </w:rPr>
        <w:t>non-neutral</w:t>
      </w:r>
      <w:r w:rsidR="003D5A56" w:rsidRPr="007337C6">
        <w:rPr>
          <w:rFonts w:ascii="Trebuchet MS" w:hAnsi="Trebuchet MS"/>
          <w:sz w:val="20"/>
          <w:szCs w:val="20"/>
          <w:lang w:val="en-US"/>
        </w:rPr>
        <w:t xml:space="preserve"> on GAAP basis. This is to better align with the GAAP fair value </w:t>
      </w:r>
      <w:r w:rsidR="00370C1F" w:rsidRPr="007337C6">
        <w:rPr>
          <w:rFonts w:ascii="Trebuchet MS" w:hAnsi="Trebuchet MS"/>
          <w:sz w:val="20"/>
          <w:szCs w:val="20"/>
          <w:lang w:val="en-US"/>
        </w:rPr>
        <w:t xml:space="preserve">at arm’s length </w:t>
      </w:r>
      <w:r w:rsidR="003D5A56" w:rsidRPr="007337C6">
        <w:rPr>
          <w:rFonts w:ascii="Trebuchet MS" w:hAnsi="Trebuchet MS"/>
          <w:sz w:val="20"/>
          <w:szCs w:val="20"/>
          <w:lang w:val="en-US"/>
        </w:rPr>
        <w:t>approach.</w:t>
      </w:r>
    </w:p>
    <w:p w14:paraId="13C64874" w14:textId="68489DC5" w:rsidR="00333C57" w:rsidRPr="007337C6" w:rsidRDefault="00B40CB4" w:rsidP="006C5658">
      <w:pPr>
        <w:rPr>
          <w:rFonts w:ascii="Trebuchet MS" w:hAnsi="Trebuchet MS"/>
          <w:sz w:val="20"/>
          <w:szCs w:val="20"/>
          <w:lang w:val="en-US"/>
        </w:rPr>
      </w:pPr>
      <w:r w:rsidRPr="007337C6">
        <w:rPr>
          <w:rFonts w:ascii="Trebuchet MS" w:hAnsi="Trebuchet MS"/>
          <w:b/>
          <w:bCs/>
          <w:i/>
          <w:iCs/>
          <w:sz w:val="20"/>
          <w:szCs w:val="20"/>
          <w:lang w:val="en-US"/>
        </w:rPr>
        <w:lastRenderedPageBreak/>
        <w:t xml:space="preserve">Accounting items </w:t>
      </w:r>
      <w:r w:rsidR="00287CA1" w:rsidRPr="007337C6">
        <w:rPr>
          <w:rFonts w:ascii="Trebuchet MS" w:hAnsi="Trebuchet MS"/>
          <w:b/>
          <w:bCs/>
          <w:i/>
          <w:iCs/>
          <w:sz w:val="20"/>
          <w:szCs w:val="20"/>
          <w:lang w:val="en-US"/>
        </w:rPr>
        <w:t>–</w:t>
      </w:r>
      <w:r w:rsidR="00287CA1" w:rsidRPr="007337C6">
        <w:rPr>
          <w:rFonts w:ascii="Trebuchet MS" w:hAnsi="Trebuchet MS"/>
          <w:sz w:val="20"/>
          <w:szCs w:val="20"/>
          <w:lang w:val="en-US"/>
        </w:rPr>
        <w:t xml:space="preserve"> </w:t>
      </w:r>
      <w:r w:rsidRPr="007337C6">
        <w:rPr>
          <w:rFonts w:ascii="Trebuchet MS" w:hAnsi="Trebuchet MS"/>
          <w:sz w:val="20"/>
          <w:szCs w:val="20"/>
          <w:lang w:val="en-US"/>
        </w:rPr>
        <w:t xml:space="preserve">A number of GAAP items have been amended to reflect </w:t>
      </w:r>
      <w:proofErr w:type="spellStart"/>
      <w:r w:rsidRPr="007337C6">
        <w:rPr>
          <w:rFonts w:ascii="Trebuchet MS" w:hAnsi="Trebuchet MS"/>
          <w:sz w:val="20"/>
          <w:szCs w:val="20"/>
          <w:lang w:val="en-US"/>
        </w:rPr>
        <w:t>AGL’s</w:t>
      </w:r>
      <w:proofErr w:type="spellEnd"/>
      <w:r w:rsidRPr="007337C6">
        <w:rPr>
          <w:rFonts w:ascii="Trebuchet MS" w:hAnsi="Trebuchet MS"/>
          <w:sz w:val="20"/>
          <w:szCs w:val="20"/>
          <w:lang w:val="en-US"/>
        </w:rPr>
        <w:t xml:space="preserve"> published Solvency and Financial Condition Report (SFCR), and the finalization of the audit of the </w:t>
      </w:r>
      <w:proofErr w:type="spellStart"/>
      <w:r w:rsidRPr="007337C6">
        <w:rPr>
          <w:rFonts w:ascii="Trebuchet MS" w:hAnsi="Trebuchet MS"/>
          <w:sz w:val="20"/>
          <w:szCs w:val="20"/>
          <w:lang w:val="en-US"/>
        </w:rPr>
        <w:t>AGL</w:t>
      </w:r>
      <w:proofErr w:type="spellEnd"/>
      <w:r w:rsidRPr="007337C6">
        <w:rPr>
          <w:rFonts w:ascii="Trebuchet MS" w:hAnsi="Trebuchet MS"/>
          <w:sz w:val="20"/>
          <w:szCs w:val="20"/>
          <w:lang w:val="en-US"/>
        </w:rPr>
        <w:t xml:space="preserve"> SFCR which occurred after the completion of the Chief Actuary</w:t>
      </w:r>
      <w:r w:rsidR="00370C1F" w:rsidRPr="007337C6">
        <w:rPr>
          <w:rFonts w:ascii="Trebuchet MS" w:hAnsi="Trebuchet MS"/>
          <w:sz w:val="20"/>
          <w:szCs w:val="20"/>
          <w:lang w:val="en-US"/>
        </w:rPr>
        <w:t xml:space="preserve"> initial</w:t>
      </w:r>
      <w:r w:rsidRPr="007337C6">
        <w:rPr>
          <w:rFonts w:ascii="Trebuchet MS" w:hAnsi="Trebuchet MS"/>
          <w:sz w:val="20"/>
          <w:szCs w:val="20"/>
          <w:lang w:val="en-US"/>
        </w:rPr>
        <w:t xml:space="preserve"> report on the transfer.  </w:t>
      </w:r>
    </w:p>
    <w:p w14:paraId="36EDE91C" w14:textId="39C53E9F" w:rsidR="003D5A56" w:rsidRPr="007337C6" w:rsidRDefault="003D5A56" w:rsidP="001B4EF7">
      <w:pPr>
        <w:rPr>
          <w:rFonts w:ascii="Trebuchet MS" w:hAnsi="Trebuchet MS"/>
          <w:sz w:val="20"/>
          <w:szCs w:val="20"/>
          <w:lang w:val="en-US"/>
        </w:rPr>
      </w:pPr>
      <w:r w:rsidRPr="007337C6">
        <w:rPr>
          <w:rFonts w:ascii="Trebuchet MS" w:hAnsi="Trebuchet MS"/>
          <w:sz w:val="20"/>
          <w:szCs w:val="20"/>
          <w:lang w:val="en-US"/>
        </w:rPr>
        <w:t>As a result</w:t>
      </w:r>
      <w:r w:rsidR="000452F0" w:rsidRPr="007337C6">
        <w:rPr>
          <w:rFonts w:ascii="Trebuchet MS" w:hAnsi="Trebuchet MS"/>
          <w:sz w:val="20"/>
          <w:szCs w:val="20"/>
          <w:lang w:val="en-US"/>
        </w:rPr>
        <w:t xml:space="preserve"> of these changes impacting the financials</w:t>
      </w:r>
      <w:r w:rsidR="00134DC7">
        <w:rPr>
          <w:rFonts w:ascii="Trebuchet MS" w:hAnsi="Trebuchet MS"/>
          <w:sz w:val="20"/>
          <w:szCs w:val="20"/>
          <w:lang w:val="en-US"/>
        </w:rPr>
        <w:t xml:space="preserve"> (Own Funds and capital requirements)</w:t>
      </w:r>
      <w:r w:rsidRPr="007337C6">
        <w:rPr>
          <w:rFonts w:ascii="Trebuchet MS" w:hAnsi="Trebuchet MS"/>
          <w:sz w:val="20"/>
          <w:szCs w:val="20"/>
          <w:lang w:val="en-US"/>
        </w:rPr>
        <w:t xml:space="preserve">, </w:t>
      </w:r>
      <w:r w:rsidR="00C72C5F" w:rsidRPr="007337C6">
        <w:rPr>
          <w:rFonts w:ascii="Trebuchet MS" w:hAnsi="Trebuchet MS"/>
          <w:sz w:val="20"/>
          <w:szCs w:val="20"/>
          <w:lang w:val="en-US"/>
        </w:rPr>
        <w:t xml:space="preserve">the </w:t>
      </w:r>
      <w:r w:rsidRPr="007337C6">
        <w:rPr>
          <w:rFonts w:ascii="Trebuchet MS" w:hAnsi="Trebuchet MS"/>
          <w:sz w:val="20"/>
          <w:szCs w:val="20"/>
          <w:lang w:val="en-US"/>
        </w:rPr>
        <w:t xml:space="preserve">capital injections have </w:t>
      </w:r>
      <w:r w:rsidR="00C72C5F" w:rsidRPr="007337C6">
        <w:rPr>
          <w:rFonts w:ascii="Trebuchet MS" w:hAnsi="Trebuchet MS"/>
          <w:sz w:val="20"/>
          <w:szCs w:val="20"/>
          <w:lang w:val="en-US"/>
        </w:rPr>
        <w:t>been adjusted (increased</w:t>
      </w:r>
      <w:r w:rsidR="00E96AF0" w:rsidRPr="007337C6">
        <w:rPr>
          <w:rFonts w:ascii="Trebuchet MS" w:hAnsi="Trebuchet MS"/>
          <w:sz w:val="20"/>
          <w:szCs w:val="20"/>
          <w:lang w:val="en-US"/>
        </w:rPr>
        <w:t xml:space="preserve"> marginally</w:t>
      </w:r>
      <w:r w:rsidR="00C72C5F" w:rsidRPr="007337C6">
        <w:rPr>
          <w:rFonts w:ascii="Trebuchet MS" w:hAnsi="Trebuchet MS"/>
          <w:sz w:val="20"/>
          <w:szCs w:val="20"/>
          <w:lang w:val="en-US"/>
        </w:rPr>
        <w:t>)</w:t>
      </w:r>
      <w:r w:rsidRPr="007337C6">
        <w:rPr>
          <w:rFonts w:ascii="Trebuchet MS" w:hAnsi="Trebuchet MS"/>
          <w:sz w:val="20"/>
          <w:szCs w:val="20"/>
          <w:lang w:val="en-US"/>
        </w:rPr>
        <w:t xml:space="preserve"> </w:t>
      </w:r>
      <w:r w:rsidR="00E96AF0" w:rsidRPr="007337C6">
        <w:rPr>
          <w:rFonts w:ascii="Trebuchet MS" w:hAnsi="Trebuchet MS"/>
          <w:sz w:val="20"/>
          <w:szCs w:val="20"/>
          <w:lang w:val="en-US"/>
        </w:rPr>
        <w:t xml:space="preserve">to maintain the level of </w:t>
      </w:r>
      <w:r w:rsidRPr="007337C6">
        <w:rPr>
          <w:rFonts w:ascii="Trebuchet MS" w:hAnsi="Trebuchet MS"/>
          <w:sz w:val="20"/>
          <w:szCs w:val="20"/>
          <w:lang w:val="en-US"/>
        </w:rPr>
        <w:t xml:space="preserve">solvency </w:t>
      </w:r>
      <w:r w:rsidR="00EA7B6B" w:rsidRPr="007337C6">
        <w:rPr>
          <w:rFonts w:ascii="Trebuchet MS" w:hAnsi="Trebuchet MS"/>
          <w:sz w:val="20"/>
          <w:szCs w:val="20"/>
          <w:lang w:val="en-US"/>
        </w:rPr>
        <w:t>indicated in</w:t>
      </w:r>
      <w:r w:rsidRPr="007337C6">
        <w:rPr>
          <w:rFonts w:ascii="Trebuchet MS" w:hAnsi="Trebuchet MS"/>
          <w:sz w:val="20"/>
          <w:szCs w:val="20"/>
          <w:lang w:val="en-US"/>
        </w:rPr>
        <w:t xml:space="preserve"> </w:t>
      </w:r>
      <w:r w:rsidR="003A0C5D" w:rsidRPr="007337C6">
        <w:rPr>
          <w:rFonts w:ascii="Trebuchet MS" w:hAnsi="Trebuchet MS"/>
          <w:sz w:val="20"/>
          <w:szCs w:val="20"/>
          <w:lang w:val="en-US"/>
        </w:rPr>
        <w:t>the initial report</w:t>
      </w:r>
      <w:r w:rsidRPr="007337C6">
        <w:rPr>
          <w:rFonts w:ascii="Trebuchet MS" w:hAnsi="Trebuchet MS"/>
          <w:sz w:val="20"/>
          <w:szCs w:val="20"/>
          <w:lang w:val="en-US"/>
        </w:rPr>
        <w:t>.</w:t>
      </w:r>
      <w:r w:rsidR="00C72C5F" w:rsidRPr="007337C6">
        <w:rPr>
          <w:rFonts w:ascii="Trebuchet MS" w:hAnsi="Trebuchet MS"/>
          <w:sz w:val="20"/>
          <w:szCs w:val="20"/>
          <w:lang w:val="en-US"/>
        </w:rPr>
        <w:t xml:space="preserve"> Details of the financials are provided in section 4</w:t>
      </w:r>
      <w:r w:rsidR="00AB6A3F" w:rsidRPr="007337C6">
        <w:rPr>
          <w:rFonts w:ascii="Trebuchet MS" w:hAnsi="Trebuchet MS"/>
          <w:sz w:val="20"/>
          <w:szCs w:val="20"/>
          <w:lang w:val="en-US"/>
        </w:rPr>
        <w:t>.</w:t>
      </w:r>
    </w:p>
    <w:p w14:paraId="5497BD11" w14:textId="16185848" w:rsidR="00AB6A3F" w:rsidRPr="007337C6" w:rsidRDefault="00AB6A3F" w:rsidP="001B4EF7">
      <w:pPr>
        <w:rPr>
          <w:rFonts w:ascii="Trebuchet MS" w:hAnsi="Trebuchet MS"/>
          <w:sz w:val="20"/>
          <w:szCs w:val="20"/>
          <w:lang w:val="en-US"/>
        </w:rPr>
      </w:pPr>
      <w:r w:rsidRPr="007337C6">
        <w:rPr>
          <w:rFonts w:ascii="Trebuchet MS" w:hAnsi="Trebuchet MS"/>
          <w:sz w:val="20"/>
          <w:szCs w:val="20"/>
          <w:lang w:val="en-US"/>
        </w:rPr>
        <w:t xml:space="preserve">Note that the tax implication of the arm’s length transaction approach has also been allowed </w:t>
      </w:r>
      <w:proofErr w:type="gramStart"/>
      <w:r w:rsidRPr="007337C6">
        <w:rPr>
          <w:rFonts w:ascii="Trebuchet MS" w:hAnsi="Trebuchet MS"/>
          <w:sz w:val="20"/>
          <w:szCs w:val="20"/>
          <w:lang w:val="en-US"/>
        </w:rPr>
        <w:t>for,</w:t>
      </w:r>
      <w:proofErr w:type="gramEnd"/>
      <w:r w:rsidRPr="007337C6">
        <w:rPr>
          <w:rFonts w:ascii="Trebuchet MS" w:hAnsi="Trebuchet MS"/>
          <w:sz w:val="20"/>
          <w:szCs w:val="20"/>
          <w:lang w:val="en-US"/>
        </w:rPr>
        <w:t xml:space="preserve"> more details can be found in section </w:t>
      </w:r>
      <w:r w:rsidR="004F759C" w:rsidRPr="007337C6">
        <w:rPr>
          <w:rFonts w:ascii="Trebuchet MS" w:hAnsi="Trebuchet MS"/>
          <w:sz w:val="20"/>
          <w:szCs w:val="20"/>
          <w:lang w:val="en-US"/>
        </w:rPr>
        <w:t>6</w:t>
      </w:r>
      <w:r w:rsidRPr="007337C6">
        <w:rPr>
          <w:rFonts w:ascii="Trebuchet MS" w:hAnsi="Trebuchet MS"/>
          <w:sz w:val="20"/>
          <w:szCs w:val="20"/>
          <w:lang w:val="en-US"/>
        </w:rPr>
        <w:t>.</w:t>
      </w:r>
    </w:p>
    <w:p w14:paraId="711A465F" w14:textId="2AAA0810" w:rsidR="001B4EF7" w:rsidRPr="007337C6" w:rsidRDefault="001B4EF7" w:rsidP="00C14B1A">
      <w:pPr>
        <w:pStyle w:val="CommentText"/>
        <w:rPr>
          <w:rFonts w:ascii="Trebuchet MS" w:hAnsi="Trebuchet MS"/>
        </w:rPr>
      </w:pPr>
      <w:r w:rsidRPr="007337C6">
        <w:rPr>
          <w:rFonts w:ascii="Trebuchet MS" w:hAnsi="Trebuchet MS"/>
          <w:lang w:val="en-US"/>
        </w:rPr>
        <w:t>In conclusion,</w:t>
      </w:r>
      <w:r w:rsidR="00C14B1A" w:rsidRPr="007337C6">
        <w:rPr>
          <w:rFonts w:ascii="Trebuchet MS" w:hAnsi="Trebuchet MS"/>
          <w:lang w:val="en-US"/>
        </w:rPr>
        <w:t xml:space="preserve"> none of the changes above impact analysis or cause me to change my conclusions;</w:t>
      </w:r>
      <w:r w:rsidRPr="007337C6">
        <w:rPr>
          <w:rFonts w:ascii="Trebuchet MS" w:hAnsi="Trebuchet MS"/>
          <w:lang w:val="en-US"/>
        </w:rPr>
        <w:t xml:space="preserve"> </w:t>
      </w:r>
      <w:r w:rsidR="00C407B1" w:rsidRPr="007337C6">
        <w:rPr>
          <w:rFonts w:ascii="Trebuchet MS" w:hAnsi="Trebuchet MS"/>
          <w:lang w:val="en-US"/>
        </w:rPr>
        <w:t>the Transfer</w:t>
      </w:r>
      <w:r w:rsidRPr="007337C6">
        <w:rPr>
          <w:rFonts w:ascii="Trebuchet MS" w:hAnsi="Trebuchet MS"/>
          <w:lang w:val="en-US"/>
        </w:rPr>
        <w:t xml:space="preserve">ring and non-Transferring policyholders of AGIL and LGI will benefit from well </w:t>
      </w:r>
      <w:proofErr w:type="spellStart"/>
      <w:r w:rsidRPr="007337C6">
        <w:rPr>
          <w:rFonts w:ascii="Trebuchet MS" w:hAnsi="Trebuchet MS"/>
          <w:lang w:val="en-US"/>
        </w:rPr>
        <w:t>capitali</w:t>
      </w:r>
      <w:r w:rsidR="00EB0830" w:rsidRPr="007337C6">
        <w:rPr>
          <w:rFonts w:ascii="Trebuchet MS" w:hAnsi="Trebuchet MS"/>
          <w:lang w:val="en-US"/>
        </w:rPr>
        <w:t>s</w:t>
      </w:r>
      <w:r w:rsidRPr="007337C6">
        <w:rPr>
          <w:rFonts w:ascii="Trebuchet MS" w:hAnsi="Trebuchet MS"/>
          <w:lang w:val="en-US"/>
        </w:rPr>
        <w:t>ed</w:t>
      </w:r>
      <w:proofErr w:type="spellEnd"/>
      <w:r w:rsidRPr="007337C6">
        <w:rPr>
          <w:rFonts w:ascii="Trebuchet MS" w:hAnsi="Trebuchet MS"/>
          <w:lang w:val="en-US"/>
        </w:rPr>
        <w:t xml:space="preserve"> companies and claims payments will continue to be met within the limits of the financial capacity of the companies involved in the Scheme which is strong, as evidenced by the high solvency ratios.  </w:t>
      </w:r>
      <w:r w:rsidR="00E96AF0" w:rsidRPr="007337C6">
        <w:rPr>
          <w:rFonts w:ascii="Trebuchet MS" w:hAnsi="Trebuchet MS"/>
          <w:lang w:val="en-US"/>
        </w:rPr>
        <w:t>This conclusion is unchanged from the Chief Actuary report dated 1</w:t>
      </w:r>
      <w:r w:rsidR="00F45C61">
        <w:rPr>
          <w:rFonts w:ascii="Trebuchet MS" w:hAnsi="Trebuchet MS"/>
          <w:lang w:val="en-US"/>
        </w:rPr>
        <w:t>8</w:t>
      </w:r>
      <w:r w:rsidR="00E96AF0" w:rsidRPr="007337C6">
        <w:rPr>
          <w:rFonts w:ascii="Trebuchet MS" w:hAnsi="Trebuchet MS"/>
          <w:lang w:val="en-US"/>
        </w:rPr>
        <w:t>/06/2020.</w:t>
      </w:r>
    </w:p>
    <w:p w14:paraId="065E8AD2" w14:textId="51499C46" w:rsidR="00D613D8" w:rsidRPr="007337C6" w:rsidRDefault="001B4EF7" w:rsidP="001B4EF7">
      <w:pPr>
        <w:rPr>
          <w:rFonts w:ascii="Trebuchet MS" w:hAnsi="Trebuchet MS"/>
          <w:sz w:val="20"/>
          <w:szCs w:val="20"/>
          <w:lang w:val="en-US"/>
        </w:rPr>
      </w:pPr>
      <w:r w:rsidRPr="007337C6">
        <w:rPr>
          <w:rFonts w:ascii="Trebuchet MS" w:hAnsi="Trebuchet MS"/>
          <w:sz w:val="20"/>
          <w:szCs w:val="20"/>
          <w:lang w:val="en-US"/>
        </w:rPr>
        <w:t xml:space="preserve">In addition to the quantitative financial strength measure, the servicing of the policies, the overall risk management framework, including the governance and compliance is very strong for AGIL, LGI and AEI; therefore, the interests of Transferring and non-Transferring policyholders of LGI and AGIL will be looked after with the same care as before </w:t>
      </w:r>
      <w:r w:rsidR="00C407B1" w:rsidRPr="007337C6">
        <w:rPr>
          <w:rFonts w:ascii="Trebuchet MS" w:hAnsi="Trebuchet MS"/>
          <w:sz w:val="20"/>
          <w:szCs w:val="20"/>
          <w:lang w:val="en-US"/>
        </w:rPr>
        <w:t>the Transfer</w:t>
      </w:r>
      <w:r w:rsidR="00D613D8" w:rsidRPr="007337C6">
        <w:rPr>
          <w:rFonts w:ascii="Trebuchet MS" w:hAnsi="Trebuchet MS"/>
          <w:sz w:val="20"/>
          <w:szCs w:val="20"/>
          <w:lang w:val="en-US"/>
        </w:rPr>
        <w:t>.</w:t>
      </w:r>
    </w:p>
    <w:p w14:paraId="52A8B78B" w14:textId="1151BF50" w:rsidR="0006566B" w:rsidRPr="007337C6" w:rsidRDefault="00057941" w:rsidP="00FA0241">
      <w:pPr>
        <w:pStyle w:val="Heading1"/>
        <w:numPr>
          <w:ilvl w:val="1"/>
          <w:numId w:val="1"/>
        </w:numPr>
        <w:rPr>
          <w:color w:val="0070C0"/>
        </w:rPr>
      </w:pPr>
      <w:bookmarkStart w:id="6" w:name="_Toc52451869"/>
      <w:r w:rsidRPr="007337C6">
        <w:rPr>
          <w:color w:val="0070C0"/>
        </w:rPr>
        <w:t xml:space="preserve">Opinion of the </w:t>
      </w:r>
      <w:r w:rsidR="004A5F40" w:rsidRPr="007337C6">
        <w:rPr>
          <w:color w:val="0070C0"/>
        </w:rPr>
        <w:t>C</w:t>
      </w:r>
      <w:r w:rsidRPr="007337C6">
        <w:rPr>
          <w:color w:val="0070C0"/>
        </w:rPr>
        <w:t>hief Actuary</w:t>
      </w:r>
      <w:bookmarkEnd w:id="6"/>
    </w:p>
    <w:p w14:paraId="2B36A1FA" w14:textId="2FEF69EA" w:rsidR="004C7AF9" w:rsidRPr="007337C6" w:rsidRDefault="00A833A6" w:rsidP="00231A3C">
      <w:pPr>
        <w:rPr>
          <w:rFonts w:ascii="Trebuchet MS" w:hAnsi="Trebuchet MS"/>
          <w:sz w:val="20"/>
          <w:szCs w:val="20"/>
        </w:rPr>
      </w:pPr>
      <w:bookmarkStart w:id="7" w:name="_Hlk37923006"/>
      <w:r w:rsidRPr="007337C6">
        <w:rPr>
          <w:rFonts w:ascii="Trebuchet MS" w:hAnsi="Trebuchet MS"/>
          <w:sz w:val="20"/>
          <w:szCs w:val="20"/>
        </w:rPr>
        <w:t>The opinion I expressed in the initial report ha</w:t>
      </w:r>
      <w:r w:rsidR="00B55943" w:rsidRPr="007337C6">
        <w:rPr>
          <w:rFonts w:ascii="Trebuchet MS" w:hAnsi="Trebuchet MS"/>
          <w:sz w:val="20"/>
          <w:szCs w:val="20"/>
        </w:rPr>
        <w:t>s</w:t>
      </w:r>
      <w:r w:rsidRPr="007337C6">
        <w:rPr>
          <w:rFonts w:ascii="Trebuchet MS" w:hAnsi="Trebuchet MS"/>
          <w:sz w:val="20"/>
          <w:szCs w:val="20"/>
        </w:rPr>
        <w:t xml:space="preserve"> not changed</w:t>
      </w:r>
      <w:r w:rsidR="00B55943" w:rsidRPr="007337C6">
        <w:rPr>
          <w:rFonts w:ascii="Trebuchet MS" w:hAnsi="Trebuchet MS"/>
          <w:sz w:val="20"/>
          <w:szCs w:val="20"/>
        </w:rPr>
        <w:t xml:space="preserve">. </w:t>
      </w:r>
      <w:r w:rsidR="00B55943" w:rsidRPr="00664E4A">
        <w:rPr>
          <w:rFonts w:ascii="Trebuchet MS" w:hAnsi="Trebuchet MS"/>
          <w:sz w:val="20"/>
          <w:szCs w:val="20"/>
        </w:rPr>
        <w:t>In reaching this conclusion/opinion,</w:t>
      </w:r>
      <w:r w:rsidRPr="007337C6">
        <w:rPr>
          <w:rFonts w:ascii="Trebuchet MS" w:hAnsi="Trebuchet MS"/>
          <w:sz w:val="20"/>
          <w:szCs w:val="20"/>
        </w:rPr>
        <w:t xml:space="preserve"> I have</w:t>
      </w:r>
      <w:r w:rsidR="00346C32" w:rsidRPr="007337C6">
        <w:rPr>
          <w:rFonts w:ascii="Trebuchet MS" w:hAnsi="Trebuchet MS"/>
          <w:sz w:val="20"/>
          <w:szCs w:val="20"/>
        </w:rPr>
        <w:t xml:space="preserve"> conducted a detailed assessment of the </w:t>
      </w:r>
      <w:r w:rsidR="00FE641F" w:rsidRPr="007337C6">
        <w:rPr>
          <w:rFonts w:ascii="Trebuchet MS" w:hAnsi="Trebuchet MS"/>
          <w:sz w:val="20"/>
          <w:szCs w:val="20"/>
        </w:rPr>
        <w:t>Scheme</w:t>
      </w:r>
      <w:r w:rsidR="00346C32" w:rsidRPr="007337C6">
        <w:rPr>
          <w:rFonts w:ascii="Trebuchet MS" w:hAnsi="Trebuchet MS"/>
          <w:sz w:val="20"/>
          <w:szCs w:val="20"/>
        </w:rPr>
        <w:t>, its likely impact on the different policyholder groups</w:t>
      </w:r>
      <w:r w:rsidR="00FE641F" w:rsidRPr="007337C6">
        <w:rPr>
          <w:rFonts w:ascii="Trebuchet MS" w:hAnsi="Trebuchet MS"/>
          <w:sz w:val="20"/>
          <w:szCs w:val="20"/>
        </w:rPr>
        <w:t xml:space="preserve"> of </w:t>
      </w:r>
      <w:r w:rsidR="00346C32" w:rsidRPr="007337C6">
        <w:rPr>
          <w:rFonts w:ascii="Trebuchet MS" w:hAnsi="Trebuchet MS"/>
          <w:sz w:val="20"/>
          <w:szCs w:val="20"/>
        </w:rPr>
        <w:t xml:space="preserve">the companies involved. I have assessed the </w:t>
      </w:r>
      <w:r w:rsidR="00FE641F" w:rsidRPr="007337C6">
        <w:rPr>
          <w:rFonts w:ascii="Trebuchet MS" w:hAnsi="Trebuchet MS"/>
          <w:sz w:val="20"/>
          <w:szCs w:val="20"/>
        </w:rPr>
        <w:t>Scheme</w:t>
      </w:r>
      <w:r w:rsidR="00346C32" w:rsidRPr="007337C6">
        <w:rPr>
          <w:rFonts w:ascii="Trebuchet MS" w:hAnsi="Trebuchet MS"/>
          <w:sz w:val="20"/>
          <w:szCs w:val="20"/>
        </w:rPr>
        <w:t xml:space="preserve"> from a</w:t>
      </w:r>
      <w:r w:rsidR="008B24E1" w:rsidRPr="007337C6">
        <w:rPr>
          <w:rFonts w:ascii="Trebuchet MS" w:hAnsi="Trebuchet MS"/>
          <w:sz w:val="20"/>
          <w:szCs w:val="20"/>
        </w:rPr>
        <w:t xml:space="preserve">n </w:t>
      </w:r>
      <w:r w:rsidR="00346C32" w:rsidRPr="007337C6">
        <w:rPr>
          <w:rFonts w:ascii="Trebuchet MS" w:hAnsi="Trebuchet MS"/>
          <w:sz w:val="20"/>
          <w:szCs w:val="20"/>
        </w:rPr>
        <w:t>actuarial point of view but also with consideration to the other non-technical, non-actuarial aspects. My conclusion is that the risk of any policyholder group</w:t>
      </w:r>
      <w:r w:rsidR="00FF0014" w:rsidRPr="007337C6">
        <w:rPr>
          <w:rFonts w:ascii="Trebuchet MS" w:hAnsi="Trebuchet MS"/>
          <w:sz w:val="20"/>
          <w:szCs w:val="20"/>
        </w:rPr>
        <w:t xml:space="preserve"> of AGIL, LGI or AEI</w:t>
      </w:r>
      <w:r w:rsidR="00971146" w:rsidRPr="007337C6">
        <w:rPr>
          <w:rFonts w:ascii="Trebuchet MS" w:hAnsi="Trebuchet MS"/>
          <w:sz w:val="20"/>
          <w:szCs w:val="20"/>
        </w:rPr>
        <w:t xml:space="preserve"> </w:t>
      </w:r>
      <w:r w:rsidR="00346C32" w:rsidRPr="007337C6">
        <w:rPr>
          <w:rFonts w:ascii="Trebuchet MS" w:hAnsi="Trebuchet MS"/>
          <w:sz w:val="20"/>
          <w:szCs w:val="20"/>
        </w:rPr>
        <w:t xml:space="preserve">being adversely affected is </w:t>
      </w:r>
      <w:r w:rsidR="00291EA2" w:rsidRPr="007337C6">
        <w:rPr>
          <w:rFonts w:ascii="Trebuchet MS" w:hAnsi="Trebuchet MS"/>
          <w:sz w:val="20"/>
          <w:szCs w:val="20"/>
        </w:rPr>
        <w:t>immaterial</w:t>
      </w:r>
      <w:r w:rsidR="00346C32" w:rsidRPr="007337C6">
        <w:rPr>
          <w:rFonts w:ascii="Trebuchet MS" w:hAnsi="Trebuchet MS"/>
          <w:sz w:val="20"/>
          <w:szCs w:val="20"/>
        </w:rPr>
        <w:t>.</w:t>
      </w:r>
      <w:bookmarkEnd w:id="7"/>
      <w:r w:rsidR="004C7AF9" w:rsidRPr="007337C6">
        <w:rPr>
          <w:rFonts w:ascii="Trebuchet MS" w:hAnsi="Trebuchet MS"/>
          <w:sz w:val="20"/>
          <w:szCs w:val="20"/>
        </w:rPr>
        <w:t xml:space="preserve"> </w:t>
      </w:r>
    </w:p>
    <w:p w14:paraId="0E6684EF" w14:textId="7BBB9920" w:rsidR="00CD76EB" w:rsidRPr="007337C6" w:rsidRDefault="004C7AF9" w:rsidP="00231A3C">
      <w:pPr>
        <w:rPr>
          <w:rFonts w:ascii="Trebuchet MS" w:hAnsi="Trebuchet MS"/>
          <w:sz w:val="20"/>
          <w:szCs w:val="20"/>
        </w:rPr>
      </w:pPr>
      <w:r w:rsidRPr="007337C6">
        <w:rPr>
          <w:rFonts w:ascii="Trebuchet MS" w:hAnsi="Trebuchet MS"/>
          <w:sz w:val="20"/>
          <w:szCs w:val="20"/>
        </w:rPr>
        <w:t xml:space="preserve">I include an update of the narrative of my conclusions expressed in the initial report herein. </w:t>
      </w:r>
    </w:p>
    <w:p w14:paraId="46793BEA" w14:textId="07F6D4B2" w:rsidR="00BE31F9" w:rsidRPr="007337C6" w:rsidRDefault="00BE31F9" w:rsidP="00231A3C">
      <w:pPr>
        <w:rPr>
          <w:rFonts w:ascii="Trebuchet MS" w:hAnsi="Trebuchet MS"/>
          <w:sz w:val="20"/>
          <w:szCs w:val="20"/>
        </w:rPr>
      </w:pPr>
      <w:r w:rsidRPr="007337C6">
        <w:rPr>
          <w:rFonts w:ascii="Trebuchet MS" w:hAnsi="Trebuchet MS"/>
          <w:sz w:val="20"/>
          <w:szCs w:val="20"/>
        </w:rPr>
        <w:t>I have assessed the Transfer from an actuarial point of view but also with consideration to the other non-technical, non-actuarial aspects</w:t>
      </w:r>
      <w:r w:rsidR="00F45C61">
        <w:rPr>
          <w:rFonts w:ascii="Trebuchet MS" w:hAnsi="Trebuchet MS"/>
          <w:sz w:val="20"/>
          <w:szCs w:val="20"/>
        </w:rPr>
        <w:t>.</w:t>
      </w:r>
    </w:p>
    <w:p w14:paraId="5D8BD771" w14:textId="58D4DF51" w:rsidR="00D51099" w:rsidRPr="007337C6" w:rsidRDefault="00D51099" w:rsidP="00231A3C">
      <w:pPr>
        <w:rPr>
          <w:rFonts w:ascii="Trebuchet MS" w:hAnsi="Trebuchet MS"/>
          <w:sz w:val="20"/>
          <w:szCs w:val="20"/>
        </w:rPr>
      </w:pPr>
      <w:r w:rsidRPr="007337C6">
        <w:rPr>
          <w:rFonts w:ascii="Trebuchet MS" w:hAnsi="Trebuchet MS"/>
          <w:i/>
          <w:iCs/>
          <w:sz w:val="20"/>
          <w:szCs w:val="20"/>
          <w:u w:val="single"/>
        </w:rPr>
        <w:t>Assessment of pre and post Transfer financial positions</w:t>
      </w:r>
    </w:p>
    <w:p w14:paraId="31A6B2C2" w14:textId="6C7B423D" w:rsidR="000128B2" w:rsidRPr="007337C6" w:rsidRDefault="00CD76EB" w:rsidP="00231A3C">
      <w:pPr>
        <w:rPr>
          <w:rFonts w:ascii="Trebuchet MS" w:hAnsi="Trebuchet MS"/>
          <w:sz w:val="20"/>
          <w:szCs w:val="20"/>
        </w:rPr>
      </w:pPr>
      <w:r w:rsidRPr="007337C6">
        <w:rPr>
          <w:rFonts w:ascii="Trebuchet MS" w:hAnsi="Trebuchet MS"/>
          <w:sz w:val="20"/>
          <w:szCs w:val="20"/>
        </w:rPr>
        <w:t>I have considered the</w:t>
      </w:r>
      <w:r w:rsidR="000128B2" w:rsidRPr="007337C6">
        <w:rPr>
          <w:rFonts w:ascii="Trebuchet MS" w:hAnsi="Trebuchet MS"/>
          <w:sz w:val="20"/>
          <w:szCs w:val="20"/>
        </w:rPr>
        <w:t xml:space="preserve"> broader </w:t>
      </w:r>
      <w:r w:rsidR="007C4761" w:rsidRPr="007337C6">
        <w:rPr>
          <w:rFonts w:ascii="Trebuchet MS" w:hAnsi="Trebuchet MS"/>
          <w:sz w:val="20"/>
          <w:szCs w:val="20"/>
        </w:rPr>
        <w:t xml:space="preserve">risk </w:t>
      </w:r>
      <w:r w:rsidR="000128B2" w:rsidRPr="007337C6">
        <w:rPr>
          <w:rFonts w:ascii="Trebuchet MS" w:hAnsi="Trebuchet MS"/>
          <w:sz w:val="20"/>
          <w:szCs w:val="20"/>
        </w:rPr>
        <w:t>management issues in</w:t>
      </w:r>
      <w:r w:rsidR="007C4761" w:rsidRPr="007337C6">
        <w:rPr>
          <w:rFonts w:ascii="Trebuchet MS" w:hAnsi="Trebuchet MS"/>
          <w:sz w:val="20"/>
          <w:szCs w:val="20"/>
        </w:rPr>
        <w:t xml:space="preserve"> relation to the underlying businesses and risk profiles of </w:t>
      </w:r>
      <w:r w:rsidR="00C407B1" w:rsidRPr="007337C6">
        <w:rPr>
          <w:rFonts w:ascii="Trebuchet MS" w:hAnsi="Trebuchet MS"/>
          <w:sz w:val="20"/>
          <w:szCs w:val="20"/>
        </w:rPr>
        <w:t>the Transfer</w:t>
      </w:r>
      <w:r w:rsidR="007C4761" w:rsidRPr="007337C6">
        <w:rPr>
          <w:rFonts w:ascii="Trebuchet MS" w:hAnsi="Trebuchet MS"/>
          <w:sz w:val="20"/>
          <w:szCs w:val="20"/>
        </w:rPr>
        <w:t xml:space="preserve">ors and </w:t>
      </w:r>
      <w:r w:rsidR="00C407B1" w:rsidRPr="007337C6">
        <w:rPr>
          <w:rFonts w:ascii="Trebuchet MS" w:hAnsi="Trebuchet MS"/>
          <w:sz w:val="20"/>
          <w:szCs w:val="20"/>
        </w:rPr>
        <w:t>the Transfer</w:t>
      </w:r>
      <w:r w:rsidR="007C4761" w:rsidRPr="007337C6">
        <w:rPr>
          <w:rFonts w:ascii="Trebuchet MS" w:hAnsi="Trebuchet MS"/>
          <w:sz w:val="20"/>
          <w:szCs w:val="20"/>
        </w:rPr>
        <w:t xml:space="preserve">ee companies, including an assessment of insurance risk, market risk, credit risk and operational risks. I am satisfied that the risk management framework, including governance and compliance is of a high standard and will remain to be of same standard </w:t>
      </w:r>
      <w:r w:rsidR="007B0679" w:rsidRPr="007337C6">
        <w:rPr>
          <w:rFonts w:ascii="Trebuchet MS" w:hAnsi="Trebuchet MS"/>
          <w:sz w:val="20"/>
          <w:szCs w:val="20"/>
        </w:rPr>
        <w:t>post-Transfer</w:t>
      </w:r>
      <w:r w:rsidR="007C4761" w:rsidRPr="007337C6">
        <w:rPr>
          <w:rFonts w:ascii="Trebuchet MS" w:hAnsi="Trebuchet MS"/>
          <w:sz w:val="20"/>
          <w:szCs w:val="20"/>
        </w:rPr>
        <w:t xml:space="preserve">. </w:t>
      </w:r>
    </w:p>
    <w:p w14:paraId="25482EBF" w14:textId="13A095C9" w:rsidR="00F35C32" w:rsidRPr="007337C6" w:rsidRDefault="007C4761" w:rsidP="00231A3C">
      <w:pPr>
        <w:rPr>
          <w:rFonts w:ascii="Trebuchet MS" w:hAnsi="Trebuchet MS"/>
          <w:sz w:val="20"/>
          <w:szCs w:val="20"/>
        </w:rPr>
      </w:pPr>
      <w:r w:rsidRPr="007337C6">
        <w:rPr>
          <w:rFonts w:ascii="Trebuchet MS" w:hAnsi="Trebuchet MS"/>
          <w:sz w:val="20"/>
          <w:szCs w:val="20"/>
        </w:rPr>
        <w:t xml:space="preserve">In particular, I have looked into the </w:t>
      </w:r>
      <w:r w:rsidR="00CD76EB" w:rsidRPr="007337C6">
        <w:rPr>
          <w:rFonts w:ascii="Trebuchet MS" w:hAnsi="Trebuchet MS"/>
          <w:sz w:val="20"/>
          <w:szCs w:val="20"/>
        </w:rPr>
        <w:t xml:space="preserve">risk posed by </w:t>
      </w:r>
      <w:r w:rsidR="005E55C1">
        <w:rPr>
          <w:rFonts w:ascii="Trebuchet MS" w:hAnsi="Trebuchet MS"/>
          <w:sz w:val="20"/>
          <w:szCs w:val="20"/>
        </w:rPr>
        <w:t>COVID-19</w:t>
      </w:r>
      <w:r w:rsidR="00CD76EB" w:rsidRPr="007337C6">
        <w:rPr>
          <w:rFonts w:ascii="Trebuchet MS" w:hAnsi="Trebuchet MS"/>
          <w:sz w:val="20"/>
          <w:szCs w:val="20"/>
        </w:rPr>
        <w:t xml:space="preserve"> on the </w:t>
      </w:r>
      <w:r w:rsidR="00B55943" w:rsidRPr="007337C6">
        <w:rPr>
          <w:rFonts w:ascii="Trebuchet MS" w:hAnsi="Trebuchet MS"/>
          <w:sz w:val="20"/>
          <w:szCs w:val="20"/>
        </w:rPr>
        <w:t>UK and Europe economies</w:t>
      </w:r>
      <w:r w:rsidR="00CD76EB" w:rsidRPr="007337C6">
        <w:rPr>
          <w:rFonts w:ascii="Trebuchet MS" w:hAnsi="Trebuchet MS"/>
          <w:sz w:val="20"/>
          <w:szCs w:val="20"/>
        </w:rPr>
        <w:t xml:space="preserve"> with the disruption in some supply chains and </w:t>
      </w:r>
      <w:r w:rsidR="00AC7DAC" w:rsidRPr="007337C6">
        <w:rPr>
          <w:rFonts w:ascii="Trebuchet MS" w:hAnsi="Trebuchet MS"/>
          <w:sz w:val="20"/>
          <w:szCs w:val="20"/>
        </w:rPr>
        <w:t xml:space="preserve">additional </w:t>
      </w:r>
      <w:r w:rsidR="00CD76EB" w:rsidRPr="007337C6">
        <w:rPr>
          <w:rFonts w:ascii="Trebuchet MS" w:hAnsi="Trebuchet MS"/>
          <w:sz w:val="20"/>
          <w:szCs w:val="20"/>
        </w:rPr>
        <w:t xml:space="preserve">volatility in the markets. </w:t>
      </w:r>
      <w:r w:rsidR="002A0DCF">
        <w:rPr>
          <w:rFonts w:ascii="Trebuchet MS" w:hAnsi="Trebuchet MS"/>
          <w:sz w:val="20"/>
          <w:szCs w:val="20"/>
        </w:rPr>
        <w:t xml:space="preserve">At the time of writing there has been a </w:t>
      </w:r>
      <w:r w:rsidR="00CD76EB" w:rsidRPr="007337C6">
        <w:rPr>
          <w:rFonts w:ascii="Trebuchet MS" w:hAnsi="Trebuchet MS"/>
          <w:sz w:val="20"/>
          <w:szCs w:val="20"/>
        </w:rPr>
        <w:t xml:space="preserve">significant hit </w:t>
      </w:r>
      <w:r w:rsidR="000F2B6E" w:rsidRPr="007337C6">
        <w:rPr>
          <w:rFonts w:ascii="Trebuchet MS" w:hAnsi="Trebuchet MS"/>
          <w:sz w:val="20"/>
          <w:szCs w:val="20"/>
        </w:rPr>
        <w:t>to</w:t>
      </w:r>
      <w:r w:rsidR="00CD76EB" w:rsidRPr="007337C6">
        <w:rPr>
          <w:rFonts w:ascii="Trebuchet MS" w:hAnsi="Trebuchet MS"/>
          <w:sz w:val="20"/>
          <w:szCs w:val="20"/>
        </w:rPr>
        <w:t xml:space="preserve"> the </w:t>
      </w:r>
      <w:r w:rsidR="00B55943" w:rsidRPr="007337C6">
        <w:rPr>
          <w:rFonts w:ascii="Trebuchet MS" w:hAnsi="Trebuchet MS"/>
          <w:sz w:val="20"/>
          <w:szCs w:val="20"/>
        </w:rPr>
        <w:t xml:space="preserve">UK and Europe </w:t>
      </w:r>
      <w:r w:rsidR="00CD76EB" w:rsidRPr="007337C6">
        <w:rPr>
          <w:rFonts w:ascii="Trebuchet MS" w:hAnsi="Trebuchet MS"/>
          <w:sz w:val="20"/>
          <w:szCs w:val="20"/>
        </w:rPr>
        <w:t>econom</w:t>
      </w:r>
      <w:r w:rsidR="00B55943" w:rsidRPr="007337C6">
        <w:rPr>
          <w:rFonts w:ascii="Trebuchet MS" w:hAnsi="Trebuchet MS"/>
          <w:sz w:val="20"/>
          <w:szCs w:val="20"/>
        </w:rPr>
        <w:t>ies</w:t>
      </w:r>
      <w:r w:rsidR="00CD76EB" w:rsidRPr="007337C6">
        <w:rPr>
          <w:rFonts w:ascii="Trebuchet MS" w:hAnsi="Trebuchet MS"/>
          <w:sz w:val="20"/>
          <w:szCs w:val="20"/>
        </w:rPr>
        <w:t xml:space="preserve">, the </w:t>
      </w:r>
      <w:r w:rsidR="002A0DCF">
        <w:rPr>
          <w:rFonts w:ascii="Trebuchet MS" w:hAnsi="Trebuchet MS"/>
          <w:sz w:val="20"/>
          <w:szCs w:val="20"/>
        </w:rPr>
        <w:t xml:space="preserve">impact has been seen </w:t>
      </w:r>
      <w:r w:rsidR="00CD76EB" w:rsidRPr="007337C6">
        <w:rPr>
          <w:rFonts w:ascii="Trebuchet MS" w:hAnsi="Trebuchet MS"/>
          <w:sz w:val="20"/>
          <w:szCs w:val="20"/>
        </w:rPr>
        <w:t>in various parts of AGIL and LGI businesses</w:t>
      </w:r>
      <w:r w:rsidR="002A0DCF">
        <w:rPr>
          <w:rFonts w:ascii="Trebuchet MS" w:hAnsi="Trebuchet MS"/>
          <w:sz w:val="20"/>
          <w:szCs w:val="20"/>
        </w:rPr>
        <w:t xml:space="preserve"> through reduced sales and lower claim volumes during the lock down period.  T</w:t>
      </w:r>
      <w:r w:rsidR="00AC7DAC" w:rsidRPr="007337C6">
        <w:rPr>
          <w:rFonts w:ascii="Trebuchet MS" w:hAnsi="Trebuchet MS"/>
          <w:sz w:val="20"/>
          <w:szCs w:val="20"/>
        </w:rPr>
        <w:t>he Creditor book of LGI</w:t>
      </w:r>
      <w:r w:rsidR="002A0DCF">
        <w:rPr>
          <w:rFonts w:ascii="Trebuchet MS" w:hAnsi="Trebuchet MS"/>
          <w:sz w:val="20"/>
          <w:szCs w:val="20"/>
        </w:rPr>
        <w:t xml:space="preserve"> is </w:t>
      </w:r>
      <w:r w:rsidR="00AC7DAC" w:rsidRPr="007337C6">
        <w:rPr>
          <w:rFonts w:ascii="Trebuchet MS" w:hAnsi="Trebuchet MS"/>
          <w:sz w:val="20"/>
          <w:szCs w:val="20"/>
        </w:rPr>
        <w:t>the most material line of business directly exposed to economic downturn</w:t>
      </w:r>
      <w:r w:rsidR="002A0DCF">
        <w:rPr>
          <w:rFonts w:ascii="Trebuchet MS" w:hAnsi="Trebuchet MS"/>
          <w:sz w:val="20"/>
          <w:szCs w:val="20"/>
        </w:rPr>
        <w:t xml:space="preserve"> from a reserving perspective and the impact of </w:t>
      </w:r>
      <w:r w:rsidR="005E55C1">
        <w:rPr>
          <w:rFonts w:ascii="Trebuchet MS" w:hAnsi="Trebuchet MS"/>
          <w:sz w:val="20"/>
          <w:szCs w:val="20"/>
        </w:rPr>
        <w:t>COVID-19</w:t>
      </w:r>
      <w:r w:rsidR="002A0DCF">
        <w:rPr>
          <w:rFonts w:ascii="Trebuchet MS" w:hAnsi="Trebuchet MS"/>
          <w:sz w:val="20"/>
          <w:szCs w:val="20"/>
        </w:rPr>
        <w:t xml:space="preserve"> on this portfolio may well continue through 2021</w:t>
      </w:r>
      <w:r w:rsidR="00CD76EB" w:rsidRPr="007337C6">
        <w:rPr>
          <w:rFonts w:ascii="Trebuchet MS" w:hAnsi="Trebuchet MS"/>
          <w:sz w:val="20"/>
          <w:szCs w:val="20"/>
        </w:rPr>
        <w:t xml:space="preserve">. </w:t>
      </w:r>
      <w:r w:rsidR="00291EA2" w:rsidRPr="007337C6">
        <w:rPr>
          <w:rFonts w:ascii="Trebuchet MS" w:hAnsi="Trebuchet MS"/>
          <w:sz w:val="20"/>
          <w:szCs w:val="20"/>
        </w:rPr>
        <w:t>T</w:t>
      </w:r>
      <w:r w:rsidR="006A093C" w:rsidRPr="007337C6">
        <w:rPr>
          <w:rFonts w:ascii="Trebuchet MS" w:hAnsi="Trebuchet MS"/>
          <w:sz w:val="20"/>
          <w:szCs w:val="20"/>
        </w:rPr>
        <w:t>he full impact of this uncertainty</w:t>
      </w:r>
      <w:r w:rsidR="00FC2CC2" w:rsidRPr="007337C6">
        <w:rPr>
          <w:rFonts w:ascii="Trebuchet MS" w:hAnsi="Trebuchet MS"/>
          <w:sz w:val="20"/>
          <w:szCs w:val="20"/>
        </w:rPr>
        <w:t xml:space="preserve"> and potential market movements</w:t>
      </w:r>
      <w:r w:rsidR="006A093C" w:rsidRPr="007337C6">
        <w:rPr>
          <w:rFonts w:ascii="Trebuchet MS" w:hAnsi="Trebuchet MS"/>
          <w:sz w:val="20"/>
          <w:szCs w:val="20"/>
        </w:rPr>
        <w:t xml:space="preserve"> </w:t>
      </w:r>
      <w:r w:rsidR="002A0DCF">
        <w:rPr>
          <w:rFonts w:ascii="Trebuchet MS" w:hAnsi="Trebuchet MS"/>
          <w:sz w:val="20"/>
          <w:szCs w:val="20"/>
        </w:rPr>
        <w:t>may well remain to emerge in the economy</w:t>
      </w:r>
      <w:r w:rsidR="006A093C" w:rsidRPr="007337C6">
        <w:rPr>
          <w:rFonts w:ascii="Trebuchet MS" w:hAnsi="Trebuchet MS"/>
          <w:sz w:val="20"/>
          <w:szCs w:val="20"/>
        </w:rPr>
        <w:t>, but the risk is closely monitored by management.</w:t>
      </w:r>
      <w:r w:rsidR="002A0DCF">
        <w:rPr>
          <w:rFonts w:ascii="Trebuchet MS" w:hAnsi="Trebuchet MS"/>
          <w:sz w:val="20"/>
          <w:szCs w:val="20"/>
        </w:rPr>
        <w:t xml:space="preserve">  At the time of writing, the UK and European economies have started to recover following lock down</w:t>
      </w:r>
      <w:r w:rsidR="00F45C61">
        <w:rPr>
          <w:rFonts w:ascii="Trebuchet MS" w:hAnsi="Trebuchet MS"/>
          <w:sz w:val="20"/>
          <w:szCs w:val="20"/>
        </w:rPr>
        <w:t>,</w:t>
      </w:r>
      <w:r w:rsidR="002A0DCF">
        <w:rPr>
          <w:rFonts w:ascii="Trebuchet MS" w:hAnsi="Trebuchet MS"/>
          <w:sz w:val="20"/>
          <w:szCs w:val="20"/>
        </w:rPr>
        <w:t xml:space="preserve"> but the economic outlook remains poor over the next few years.  </w:t>
      </w:r>
      <w:r w:rsidR="006A093C" w:rsidRPr="007337C6">
        <w:rPr>
          <w:rFonts w:ascii="Trebuchet MS" w:hAnsi="Trebuchet MS"/>
          <w:sz w:val="20"/>
          <w:szCs w:val="20"/>
        </w:rPr>
        <w:t xml:space="preserve"> </w:t>
      </w:r>
    </w:p>
    <w:p w14:paraId="531D9B63" w14:textId="35D6D8F1" w:rsidR="005A06AD" w:rsidRPr="007337C6" w:rsidRDefault="00FF0014" w:rsidP="00231A3C">
      <w:pPr>
        <w:rPr>
          <w:rFonts w:ascii="Trebuchet MS" w:hAnsi="Trebuchet MS"/>
          <w:sz w:val="20"/>
          <w:szCs w:val="20"/>
        </w:rPr>
      </w:pPr>
      <w:r w:rsidRPr="007337C6">
        <w:rPr>
          <w:rFonts w:ascii="Trebuchet MS" w:hAnsi="Trebuchet MS"/>
          <w:sz w:val="20"/>
          <w:szCs w:val="20"/>
        </w:rPr>
        <w:t>My report, which is based on year end 2019</w:t>
      </w:r>
      <w:r w:rsidR="00AF4522" w:rsidRPr="007337C6">
        <w:rPr>
          <w:rFonts w:ascii="Trebuchet MS" w:hAnsi="Trebuchet MS"/>
          <w:sz w:val="20"/>
          <w:szCs w:val="20"/>
        </w:rPr>
        <w:t xml:space="preserve"> data, June 2020 end </w:t>
      </w:r>
      <w:r w:rsidRPr="007337C6">
        <w:rPr>
          <w:rFonts w:ascii="Trebuchet MS" w:hAnsi="Trebuchet MS"/>
          <w:sz w:val="20"/>
          <w:szCs w:val="20"/>
        </w:rPr>
        <w:t xml:space="preserve">data </w:t>
      </w:r>
      <w:r w:rsidR="00F30DAD" w:rsidRPr="007337C6">
        <w:rPr>
          <w:rFonts w:ascii="Trebuchet MS" w:hAnsi="Trebuchet MS"/>
          <w:sz w:val="20"/>
          <w:szCs w:val="20"/>
        </w:rPr>
        <w:t xml:space="preserve">and a </w:t>
      </w:r>
      <w:r w:rsidRPr="007337C6">
        <w:rPr>
          <w:rFonts w:ascii="Trebuchet MS" w:hAnsi="Trebuchet MS"/>
          <w:sz w:val="20"/>
          <w:szCs w:val="20"/>
        </w:rPr>
        <w:t>roll forward to 30 September 2020</w:t>
      </w:r>
      <w:r w:rsidR="00F45C61">
        <w:rPr>
          <w:rFonts w:ascii="Trebuchet MS" w:hAnsi="Trebuchet MS"/>
          <w:sz w:val="20"/>
          <w:szCs w:val="20"/>
        </w:rPr>
        <w:t>,</w:t>
      </w:r>
      <w:r w:rsidRPr="007337C6">
        <w:rPr>
          <w:rFonts w:ascii="Trebuchet MS" w:hAnsi="Trebuchet MS"/>
          <w:sz w:val="20"/>
          <w:szCs w:val="20"/>
        </w:rPr>
        <w:t xml:space="preserve"> takes </w:t>
      </w:r>
      <w:r w:rsidR="00D845FA" w:rsidRPr="007337C6">
        <w:rPr>
          <w:rFonts w:ascii="Trebuchet MS" w:hAnsi="Trebuchet MS"/>
          <w:sz w:val="20"/>
          <w:szCs w:val="20"/>
        </w:rPr>
        <w:t xml:space="preserve">actual </w:t>
      </w:r>
      <w:r w:rsidRPr="007337C6">
        <w:rPr>
          <w:rFonts w:ascii="Trebuchet MS" w:hAnsi="Trebuchet MS"/>
          <w:sz w:val="20"/>
          <w:szCs w:val="20"/>
        </w:rPr>
        <w:t>market movement</w:t>
      </w:r>
      <w:r w:rsidR="00F35C32" w:rsidRPr="007337C6">
        <w:rPr>
          <w:rFonts w:ascii="Trebuchet MS" w:hAnsi="Trebuchet MS"/>
          <w:sz w:val="20"/>
          <w:szCs w:val="20"/>
        </w:rPr>
        <w:t>s</w:t>
      </w:r>
      <w:r w:rsidR="00D845FA" w:rsidRPr="007337C6">
        <w:rPr>
          <w:rFonts w:ascii="Trebuchet MS" w:hAnsi="Trebuchet MS"/>
          <w:sz w:val="20"/>
          <w:szCs w:val="20"/>
        </w:rPr>
        <w:t xml:space="preserve"> </w:t>
      </w:r>
      <w:r w:rsidR="00AF4522" w:rsidRPr="007337C6">
        <w:rPr>
          <w:rFonts w:ascii="Trebuchet MS" w:hAnsi="Trebuchet MS"/>
          <w:sz w:val="20"/>
          <w:szCs w:val="20"/>
        </w:rPr>
        <w:t>from</w:t>
      </w:r>
      <w:r w:rsidR="00D845FA" w:rsidRPr="007337C6">
        <w:rPr>
          <w:rFonts w:ascii="Trebuchet MS" w:hAnsi="Trebuchet MS"/>
          <w:sz w:val="20"/>
          <w:szCs w:val="20"/>
        </w:rPr>
        <w:t xml:space="preserve"> January</w:t>
      </w:r>
      <w:r w:rsidR="00AF4522" w:rsidRPr="007337C6">
        <w:rPr>
          <w:rFonts w:ascii="Trebuchet MS" w:hAnsi="Trebuchet MS"/>
          <w:sz w:val="20"/>
          <w:szCs w:val="20"/>
        </w:rPr>
        <w:t xml:space="preserve"> 2020</w:t>
      </w:r>
      <w:r w:rsidR="00D845FA" w:rsidRPr="007337C6">
        <w:rPr>
          <w:rFonts w:ascii="Trebuchet MS" w:hAnsi="Trebuchet MS"/>
          <w:sz w:val="20"/>
          <w:szCs w:val="20"/>
        </w:rPr>
        <w:t xml:space="preserve"> to </w:t>
      </w:r>
      <w:r w:rsidR="004C7AF9" w:rsidRPr="007337C6">
        <w:rPr>
          <w:rFonts w:ascii="Trebuchet MS" w:hAnsi="Trebuchet MS"/>
          <w:sz w:val="20"/>
          <w:szCs w:val="20"/>
        </w:rPr>
        <w:t>June</w:t>
      </w:r>
      <w:r w:rsidR="00D845FA" w:rsidRPr="007337C6">
        <w:rPr>
          <w:rFonts w:ascii="Trebuchet MS" w:hAnsi="Trebuchet MS"/>
          <w:sz w:val="20"/>
          <w:szCs w:val="20"/>
        </w:rPr>
        <w:t xml:space="preserve"> 2020</w:t>
      </w:r>
      <w:r w:rsidRPr="007337C6">
        <w:rPr>
          <w:rFonts w:ascii="Trebuchet MS" w:hAnsi="Trebuchet MS"/>
          <w:sz w:val="20"/>
          <w:szCs w:val="20"/>
        </w:rPr>
        <w:t xml:space="preserve"> into account </w:t>
      </w:r>
      <w:r w:rsidR="004C7AF9" w:rsidRPr="007337C6">
        <w:rPr>
          <w:rFonts w:ascii="Trebuchet MS" w:hAnsi="Trebuchet MS"/>
          <w:sz w:val="20"/>
          <w:szCs w:val="20"/>
        </w:rPr>
        <w:t>with a projection in the near future</w:t>
      </w:r>
      <w:r w:rsidR="00F35C32" w:rsidRPr="007337C6">
        <w:rPr>
          <w:rFonts w:ascii="Trebuchet MS" w:hAnsi="Trebuchet MS"/>
          <w:sz w:val="20"/>
          <w:szCs w:val="20"/>
        </w:rPr>
        <w:t>.  This allows for uncertainties related to a</w:t>
      </w:r>
      <w:r w:rsidR="00D55E88" w:rsidRPr="007337C6">
        <w:rPr>
          <w:rFonts w:ascii="Trebuchet MS" w:hAnsi="Trebuchet MS"/>
          <w:sz w:val="20"/>
          <w:szCs w:val="20"/>
        </w:rPr>
        <w:t xml:space="preserve"> </w:t>
      </w:r>
      <w:r w:rsidR="00F35C32" w:rsidRPr="007337C6">
        <w:rPr>
          <w:rFonts w:ascii="Trebuchet MS" w:hAnsi="Trebuchet MS"/>
          <w:sz w:val="20"/>
          <w:szCs w:val="20"/>
        </w:rPr>
        <w:t>potential</w:t>
      </w:r>
      <w:r w:rsidR="004C7AF9" w:rsidRPr="007337C6">
        <w:rPr>
          <w:rFonts w:ascii="Trebuchet MS" w:hAnsi="Trebuchet MS"/>
          <w:sz w:val="20"/>
          <w:szCs w:val="20"/>
        </w:rPr>
        <w:t xml:space="preserve"> second wave of </w:t>
      </w:r>
      <w:r w:rsidR="005E55C1">
        <w:rPr>
          <w:rFonts w:ascii="Trebuchet MS" w:hAnsi="Trebuchet MS"/>
          <w:sz w:val="20"/>
          <w:szCs w:val="20"/>
        </w:rPr>
        <w:t>COVID-19</w:t>
      </w:r>
      <w:r w:rsidR="00F35C32" w:rsidRPr="007337C6">
        <w:rPr>
          <w:rFonts w:ascii="Trebuchet MS" w:hAnsi="Trebuchet MS"/>
          <w:sz w:val="20"/>
          <w:szCs w:val="20"/>
        </w:rPr>
        <w:t xml:space="preserve"> </w:t>
      </w:r>
      <w:r w:rsidRPr="007337C6">
        <w:rPr>
          <w:rFonts w:ascii="Trebuchet MS" w:hAnsi="Trebuchet MS"/>
          <w:sz w:val="20"/>
          <w:szCs w:val="20"/>
        </w:rPr>
        <w:t xml:space="preserve">and </w:t>
      </w:r>
      <w:r w:rsidR="00766A80" w:rsidRPr="007337C6">
        <w:rPr>
          <w:rFonts w:ascii="Trebuchet MS" w:hAnsi="Trebuchet MS"/>
          <w:sz w:val="20"/>
          <w:szCs w:val="20"/>
        </w:rPr>
        <w:t xml:space="preserve">a double dip recession </w:t>
      </w:r>
      <w:r w:rsidR="00B55943" w:rsidRPr="007337C6">
        <w:rPr>
          <w:rFonts w:ascii="Trebuchet MS" w:hAnsi="Trebuchet MS"/>
          <w:sz w:val="20"/>
          <w:szCs w:val="20"/>
        </w:rPr>
        <w:t xml:space="preserve">in UK and Europe economies </w:t>
      </w:r>
      <w:r w:rsidR="00766A80" w:rsidRPr="007337C6">
        <w:rPr>
          <w:rFonts w:ascii="Trebuchet MS" w:hAnsi="Trebuchet MS"/>
          <w:sz w:val="20"/>
          <w:szCs w:val="20"/>
        </w:rPr>
        <w:t xml:space="preserve">resulting from </w:t>
      </w:r>
      <w:r w:rsidR="005E55C1">
        <w:rPr>
          <w:rFonts w:ascii="Trebuchet MS" w:hAnsi="Trebuchet MS"/>
          <w:sz w:val="20"/>
          <w:szCs w:val="20"/>
        </w:rPr>
        <w:t>COVID-19</w:t>
      </w:r>
      <w:r w:rsidR="00F35C32" w:rsidRPr="007337C6">
        <w:rPr>
          <w:rFonts w:ascii="Trebuchet MS" w:hAnsi="Trebuchet MS"/>
          <w:sz w:val="20"/>
          <w:szCs w:val="20"/>
        </w:rPr>
        <w:t xml:space="preserve">.  It is important to </w:t>
      </w:r>
      <w:r w:rsidR="00D55E88" w:rsidRPr="007337C6">
        <w:rPr>
          <w:rFonts w:ascii="Trebuchet MS" w:hAnsi="Trebuchet MS"/>
          <w:sz w:val="20"/>
          <w:szCs w:val="20"/>
        </w:rPr>
        <w:t>explicitly</w:t>
      </w:r>
      <w:r w:rsidRPr="007337C6">
        <w:rPr>
          <w:rFonts w:ascii="Trebuchet MS" w:hAnsi="Trebuchet MS"/>
          <w:sz w:val="20"/>
          <w:szCs w:val="20"/>
        </w:rPr>
        <w:t xml:space="preserve"> consider whether it remains appropriate and fair to continue with the proposed transfer in light of </w:t>
      </w:r>
      <w:r w:rsidR="005E55C1">
        <w:rPr>
          <w:rFonts w:ascii="Trebuchet MS" w:hAnsi="Trebuchet MS"/>
          <w:sz w:val="20"/>
          <w:szCs w:val="20"/>
        </w:rPr>
        <w:t>COVID-19</w:t>
      </w:r>
      <w:r w:rsidR="00D845FA" w:rsidRPr="007337C6">
        <w:rPr>
          <w:rFonts w:ascii="Trebuchet MS" w:hAnsi="Trebuchet MS"/>
          <w:sz w:val="20"/>
          <w:szCs w:val="20"/>
        </w:rPr>
        <w:t xml:space="preserve">, </w:t>
      </w:r>
      <w:r w:rsidRPr="007337C6">
        <w:rPr>
          <w:rFonts w:ascii="Trebuchet MS" w:hAnsi="Trebuchet MS"/>
          <w:sz w:val="20"/>
          <w:szCs w:val="20"/>
        </w:rPr>
        <w:t xml:space="preserve">its </w:t>
      </w:r>
      <w:r w:rsidR="00D845FA" w:rsidRPr="007337C6">
        <w:rPr>
          <w:rFonts w:ascii="Trebuchet MS" w:hAnsi="Trebuchet MS"/>
          <w:sz w:val="20"/>
          <w:szCs w:val="20"/>
        </w:rPr>
        <w:t xml:space="preserve">forecasted </w:t>
      </w:r>
      <w:r w:rsidRPr="007337C6">
        <w:rPr>
          <w:rFonts w:ascii="Trebuchet MS" w:hAnsi="Trebuchet MS"/>
          <w:sz w:val="20"/>
          <w:szCs w:val="20"/>
        </w:rPr>
        <w:t>impacts and the risks that it poses</w:t>
      </w:r>
      <w:r w:rsidR="00F30DAD" w:rsidRPr="007337C6">
        <w:rPr>
          <w:rFonts w:ascii="Trebuchet MS" w:hAnsi="Trebuchet MS"/>
          <w:sz w:val="20"/>
          <w:szCs w:val="20"/>
        </w:rPr>
        <w:t xml:space="preserve">. It is my opinion, as a result of my assessment of the impact of </w:t>
      </w:r>
      <w:r w:rsidR="005E55C1">
        <w:rPr>
          <w:rFonts w:ascii="Trebuchet MS" w:hAnsi="Trebuchet MS"/>
          <w:sz w:val="20"/>
          <w:szCs w:val="20"/>
        </w:rPr>
        <w:t>COVID-19</w:t>
      </w:r>
      <w:r w:rsidR="005B584A" w:rsidRPr="007337C6">
        <w:rPr>
          <w:rFonts w:ascii="Trebuchet MS" w:hAnsi="Trebuchet MS"/>
          <w:sz w:val="20"/>
          <w:szCs w:val="20"/>
        </w:rPr>
        <w:t xml:space="preserve"> and update based on experience to </w:t>
      </w:r>
      <w:r w:rsidR="00082924">
        <w:rPr>
          <w:rFonts w:ascii="Trebuchet MS" w:hAnsi="Trebuchet MS"/>
          <w:sz w:val="20"/>
          <w:szCs w:val="20"/>
        </w:rPr>
        <w:t>September</w:t>
      </w:r>
      <w:r w:rsidR="005B584A" w:rsidRPr="007337C6">
        <w:rPr>
          <w:rFonts w:ascii="Trebuchet MS" w:hAnsi="Trebuchet MS"/>
          <w:sz w:val="20"/>
          <w:szCs w:val="20"/>
        </w:rPr>
        <w:t xml:space="preserve"> 2020</w:t>
      </w:r>
      <w:r w:rsidR="00F30DAD" w:rsidRPr="007337C6">
        <w:rPr>
          <w:rFonts w:ascii="Trebuchet MS" w:hAnsi="Trebuchet MS"/>
          <w:sz w:val="20"/>
          <w:szCs w:val="20"/>
        </w:rPr>
        <w:t xml:space="preserve">, that the risk posed by </w:t>
      </w:r>
      <w:r w:rsidR="00B55943" w:rsidRPr="007337C6">
        <w:rPr>
          <w:rFonts w:ascii="Trebuchet MS" w:hAnsi="Trebuchet MS"/>
          <w:sz w:val="20"/>
          <w:szCs w:val="20"/>
        </w:rPr>
        <w:t xml:space="preserve">the economic impacts of </w:t>
      </w:r>
      <w:r w:rsidR="005E55C1">
        <w:rPr>
          <w:rFonts w:ascii="Trebuchet MS" w:hAnsi="Trebuchet MS"/>
          <w:sz w:val="20"/>
          <w:szCs w:val="20"/>
        </w:rPr>
        <w:t>COVID-19</w:t>
      </w:r>
      <w:r w:rsidR="00F30DAD" w:rsidRPr="007337C6">
        <w:rPr>
          <w:rFonts w:ascii="Trebuchet MS" w:hAnsi="Trebuchet MS"/>
          <w:sz w:val="20"/>
          <w:szCs w:val="20"/>
        </w:rPr>
        <w:t xml:space="preserve"> on </w:t>
      </w:r>
      <w:r w:rsidR="00C407B1" w:rsidRPr="007337C6">
        <w:rPr>
          <w:rFonts w:ascii="Trebuchet MS" w:hAnsi="Trebuchet MS"/>
          <w:sz w:val="20"/>
          <w:szCs w:val="20"/>
        </w:rPr>
        <w:t>the Transfer</w:t>
      </w:r>
      <w:r w:rsidR="00F30DAD" w:rsidRPr="007337C6">
        <w:rPr>
          <w:rFonts w:ascii="Trebuchet MS" w:hAnsi="Trebuchet MS"/>
          <w:sz w:val="20"/>
          <w:szCs w:val="20"/>
        </w:rPr>
        <w:t xml:space="preserve"> is within the limits of manageable risk and it does not constitute an impediment to </w:t>
      </w:r>
      <w:r w:rsidR="00C407B1" w:rsidRPr="007337C6">
        <w:rPr>
          <w:rFonts w:ascii="Trebuchet MS" w:hAnsi="Trebuchet MS"/>
          <w:sz w:val="20"/>
          <w:szCs w:val="20"/>
        </w:rPr>
        <w:t>the Transfer</w:t>
      </w:r>
      <w:r w:rsidR="00F30DAD" w:rsidRPr="007337C6">
        <w:rPr>
          <w:rFonts w:ascii="Trebuchet MS" w:hAnsi="Trebuchet MS"/>
          <w:sz w:val="20"/>
          <w:szCs w:val="20"/>
        </w:rPr>
        <w:t>.</w:t>
      </w:r>
    </w:p>
    <w:p w14:paraId="273F50D5" w14:textId="77777777" w:rsidR="00D51099" w:rsidRPr="007337C6" w:rsidRDefault="00D51099" w:rsidP="00D51099">
      <w:pPr>
        <w:jc w:val="both"/>
        <w:rPr>
          <w:rFonts w:ascii="Trebuchet MS" w:hAnsi="Trebuchet MS"/>
          <w:i/>
          <w:iCs/>
          <w:sz w:val="20"/>
          <w:szCs w:val="20"/>
          <w:u w:val="single"/>
        </w:rPr>
      </w:pPr>
      <w:r w:rsidRPr="007337C6">
        <w:rPr>
          <w:rFonts w:ascii="Trebuchet MS" w:hAnsi="Trebuchet MS"/>
          <w:i/>
          <w:iCs/>
          <w:sz w:val="20"/>
          <w:szCs w:val="20"/>
          <w:u w:val="single"/>
        </w:rPr>
        <w:t>Consideration of Risk Management implications including reinsurance and other risk mitigation aspects</w:t>
      </w:r>
    </w:p>
    <w:p w14:paraId="430CB17A" w14:textId="0794BEAF" w:rsidR="00D51099" w:rsidRPr="007337C6" w:rsidRDefault="00D51099" w:rsidP="00D51099">
      <w:pPr>
        <w:jc w:val="both"/>
        <w:rPr>
          <w:rFonts w:ascii="Trebuchet MS" w:hAnsi="Trebuchet MS"/>
          <w:sz w:val="20"/>
          <w:szCs w:val="20"/>
        </w:rPr>
      </w:pPr>
      <w:r w:rsidRPr="007337C6">
        <w:rPr>
          <w:rFonts w:ascii="Trebuchet MS" w:hAnsi="Trebuchet MS"/>
          <w:sz w:val="20"/>
          <w:szCs w:val="20"/>
        </w:rPr>
        <w:lastRenderedPageBreak/>
        <w:t xml:space="preserve">I have considered the broader risk management issues in relation to the underlying businesses and risk profiles of the Transferors and AEI, including an assessment of insurance risk, market risk, credit risk and operational risks. I am satisfied with the risk management framework, including governance and compliance which are of a high standard and will remain to be of same standard post transfer. </w:t>
      </w:r>
    </w:p>
    <w:p w14:paraId="27E70000" w14:textId="77777777" w:rsidR="00D51099" w:rsidRPr="007337C6" w:rsidRDefault="00D51099" w:rsidP="00D51099">
      <w:pPr>
        <w:jc w:val="both"/>
        <w:rPr>
          <w:rFonts w:ascii="Trebuchet MS" w:hAnsi="Trebuchet MS"/>
          <w:i/>
          <w:iCs/>
          <w:sz w:val="20"/>
          <w:szCs w:val="20"/>
          <w:u w:val="single"/>
        </w:rPr>
      </w:pPr>
      <w:r w:rsidRPr="007337C6">
        <w:rPr>
          <w:rFonts w:ascii="Trebuchet MS" w:hAnsi="Trebuchet MS"/>
          <w:i/>
          <w:iCs/>
          <w:sz w:val="20"/>
          <w:szCs w:val="20"/>
          <w:u w:val="single"/>
        </w:rPr>
        <w:t>Effectiveness of the scheme and its impact on policyholders and risk profile</w:t>
      </w:r>
    </w:p>
    <w:p w14:paraId="1FF8CF8E" w14:textId="274B03A3" w:rsidR="00D51099" w:rsidRDefault="00D51099" w:rsidP="00D51099">
      <w:pPr>
        <w:rPr>
          <w:rFonts w:ascii="Trebuchet MS" w:hAnsi="Trebuchet MS"/>
          <w:sz w:val="20"/>
          <w:szCs w:val="20"/>
        </w:rPr>
      </w:pPr>
      <w:r w:rsidRPr="007337C6">
        <w:rPr>
          <w:rFonts w:ascii="Trebuchet MS" w:hAnsi="Trebuchet MS"/>
          <w:sz w:val="20"/>
          <w:szCs w:val="20"/>
        </w:rPr>
        <w:t>I believe policyholders are fairly treated in terms of the before and after positions of the scheme.  These are covered in detail in sections 12.3 to 12.8 of my</w:t>
      </w:r>
      <w:r w:rsidR="004C7AF9" w:rsidRPr="007337C6">
        <w:rPr>
          <w:rFonts w:ascii="Trebuchet MS" w:hAnsi="Trebuchet MS"/>
          <w:sz w:val="20"/>
          <w:szCs w:val="20"/>
        </w:rPr>
        <w:t xml:space="preserve"> initial</w:t>
      </w:r>
      <w:r w:rsidRPr="007337C6">
        <w:rPr>
          <w:rFonts w:ascii="Trebuchet MS" w:hAnsi="Trebuchet MS"/>
          <w:sz w:val="20"/>
          <w:szCs w:val="20"/>
        </w:rPr>
        <w:t xml:space="preserve"> report.</w:t>
      </w:r>
    </w:p>
    <w:p w14:paraId="03D75178" w14:textId="77777777" w:rsidR="006D7BB8" w:rsidRPr="007337C6" w:rsidRDefault="006D7BB8" w:rsidP="00D51099">
      <w:pPr>
        <w:rPr>
          <w:rFonts w:ascii="Trebuchet MS" w:hAnsi="Trebuchet MS"/>
          <w:sz w:val="20"/>
          <w:szCs w:val="20"/>
        </w:rPr>
      </w:pPr>
    </w:p>
    <w:p w14:paraId="60DA78C2" w14:textId="0AF8BBA9" w:rsidR="00240EE6" w:rsidRPr="007337C6" w:rsidRDefault="007535B5" w:rsidP="00942F66">
      <w:pPr>
        <w:pStyle w:val="Heading1"/>
        <w:numPr>
          <w:ilvl w:val="0"/>
          <w:numId w:val="1"/>
        </w:numPr>
        <w:rPr>
          <w:color w:val="0070C0"/>
        </w:rPr>
      </w:pPr>
      <w:bookmarkStart w:id="8" w:name="_Toc535230894"/>
      <w:bookmarkStart w:id="9" w:name="_Toc535409992"/>
      <w:bookmarkStart w:id="10" w:name="_Toc533783044"/>
      <w:bookmarkStart w:id="11" w:name="_Toc535230895"/>
      <w:bookmarkStart w:id="12" w:name="_Toc535409993"/>
      <w:bookmarkStart w:id="13" w:name="_Toc533783047"/>
      <w:bookmarkStart w:id="14" w:name="_Toc535230898"/>
      <w:bookmarkStart w:id="15" w:name="_Toc535409996"/>
      <w:bookmarkStart w:id="16" w:name="_Toc533783048"/>
      <w:bookmarkStart w:id="17" w:name="_Toc535230899"/>
      <w:bookmarkStart w:id="18" w:name="_Toc535409997"/>
      <w:bookmarkStart w:id="19" w:name="_Toc533783050"/>
      <w:bookmarkStart w:id="20" w:name="_Toc535230901"/>
      <w:bookmarkStart w:id="21" w:name="_Toc535409999"/>
      <w:bookmarkStart w:id="22" w:name="_Toc533783056"/>
      <w:bookmarkStart w:id="23" w:name="_Toc535230907"/>
      <w:bookmarkStart w:id="24" w:name="_Toc535410005"/>
      <w:bookmarkStart w:id="25" w:name="_Toc533783058"/>
      <w:bookmarkStart w:id="26" w:name="_Toc535230909"/>
      <w:bookmarkStart w:id="27" w:name="_Toc535410007"/>
      <w:bookmarkStart w:id="28" w:name="_Toc533783059"/>
      <w:bookmarkStart w:id="29" w:name="_Toc535230910"/>
      <w:bookmarkStart w:id="30" w:name="_Toc535410008"/>
      <w:bookmarkStart w:id="31" w:name="_Toc533783061"/>
      <w:bookmarkStart w:id="32" w:name="_Toc535230912"/>
      <w:bookmarkStart w:id="33" w:name="_Toc535410010"/>
      <w:bookmarkStart w:id="34" w:name="_Toc533783062"/>
      <w:bookmarkStart w:id="35" w:name="_Toc535230913"/>
      <w:bookmarkStart w:id="36" w:name="_Toc535410011"/>
      <w:bookmarkStart w:id="37" w:name="_Toc533783063"/>
      <w:bookmarkStart w:id="38" w:name="_Toc535230914"/>
      <w:bookmarkStart w:id="39" w:name="_Toc535410012"/>
      <w:bookmarkStart w:id="40" w:name="_Toc533783064"/>
      <w:bookmarkStart w:id="41" w:name="_Toc535230915"/>
      <w:bookmarkStart w:id="42" w:name="_Toc535410013"/>
      <w:bookmarkStart w:id="43" w:name="_Toc533783065"/>
      <w:bookmarkStart w:id="44" w:name="_Toc535230916"/>
      <w:bookmarkStart w:id="45" w:name="_Toc535410014"/>
      <w:bookmarkStart w:id="46" w:name="_Toc533783066"/>
      <w:bookmarkStart w:id="47" w:name="_Toc535230917"/>
      <w:bookmarkStart w:id="48" w:name="_Toc535410015"/>
      <w:bookmarkStart w:id="49" w:name="_Toc533783067"/>
      <w:bookmarkStart w:id="50" w:name="_Toc535230918"/>
      <w:bookmarkStart w:id="51" w:name="_Toc535410016"/>
      <w:bookmarkStart w:id="52" w:name="_Toc533783068"/>
      <w:bookmarkStart w:id="53" w:name="_Toc535230919"/>
      <w:bookmarkStart w:id="54" w:name="_Toc535410017"/>
      <w:bookmarkStart w:id="55" w:name="_Toc533783069"/>
      <w:bookmarkStart w:id="56" w:name="_Toc535230920"/>
      <w:bookmarkStart w:id="57" w:name="_Toc535410018"/>
      <w:bookmarkStart w:id="58" w:name="_Toc52451870"/>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7337C6">
        <w:rPr>
          <w:color w:val="0070C0"/>
        </w:rPr>
        <w:t>Recent developments impacting the Transfer</w:t>
      </w:r>
      <w:bookmarkEnd w:id="58"/>
    </w:p>
    <w:p w14:paraId="370D783D" w14:textId="77777777" w:rsidR="00E76A86" w:rsidRPr="007337C6" w:rsidRDefault="00E76A86" w:rsidP="00E76A86">
      <w:pPr>
        <w:autoSpaceDE w:val="0"/>
        <w:autoSpaceDN w:val="0"/>
        <w:adjustRightInd w:val="0"/>
        <w:spacing w:after="0" w:line="240" w:lineRule="auto"/>
        <w:rPr>
          <w:rFonts w:ascii="Trebuchet MS" w:hAnsi="Trebuchet MS" w:cs="Arial"/>
        </w:rPr>
      </w:pPr>
    </w:p>
    <w:p w14:paraId="38579BFE" w14:textId="2523A396" w:rsidR="00240EE6" w:rsidRPr="007337C6" w:rsidRDefault="007535B5" w:rsidP="00FA0241">
      <w:pPr>
        <w:pStyle w:val="Heading1"/>
        <w:numPr>
          <w:ilvl w:val="1"/>
          <w:numId w:val="1"/>
        </w:numPr>
        <w:rPr>
          <w:color w:val="0070C0"/>
        </w:rPr>
      </w:pPr>
      <w:bookmarkStart w:id="59" w:name="_Toc52451871"/>
      <w:r w:rsidRPr="007337C6">
        <w:rPr>
          <w:color w:val="0070C0"/>
        </w:rPr>
        <w:t>Transferring business</w:t>
      </w:r>
      <w:bookmarkEnd w:id="59"/>
    </w:p>
    <w:p w14:paraId="291F2252" w14:textId="051B824C" w:rsidR="002F4622" w:rsidRPr="007337C6" w:rsidRDefault="002F4622" w:rsidP="002F4622">
      <w:pPr>
        <w:rPr>
          <w:rFonts w:ascii="Trebuchet MS" w:hAnsi="Trebuchet MS"/>
          <w:sz w:val="20"/>
          <w:szCs w:val="20"/>
        </w:rPr>
      </w:pPr>
      <w:r w:rsidRPr="007337C6">
        <w:rPr>
          <w:rFonts w:ascii="Trebuchet MS" w:hAnsi="Trebuchet MS"/>
          <w:sz w:val="20"/>
          <w:szCs w:val="20"/>
        </w:rPr>
        <w:t xml:space="preserve">This </w:t>
      </w:r>
      <w:r w:rsidR="0020281C" w:rsidRPr="007337C6">
        <w:rPr>
          <w:rFonts w:ascii="Trebuchet MS" w:hAnsi="Trebuchet MS"/>
          <w:sz w:val="20"/>
          <w:szCs w:val="20"/>
        </w:rPr>
        <w:t>section of the report highlights development in the business since the initial report that have a relevance to the Transferring business</w:t>
      </w:r>
    </w:p>
    <w:p w14:paraId="2151A161" w14:textId="21E2A9B9" w:rsidR="0020281C" w:rsidRPr="007337C6" w:rsidRDefault="00F0214F" w:rsidP="00345C1C">
      <w:pPr>
        <w:rPr>
          <w:rFonts w:ascii="Trebuchet MS" w:hAnsi="Trebuchet MS"/>
          <w:sz w:val="20"/>
          <w:szCs w:val="20"/>
          <w:u w:val="single"/>
        </w:rPr>
      </w:pPr>
      <w:r w:rsidRPr="007337C6">
        <w:rPr>
          <w:rFonts w:ascii="Trebuchet MS" w:hAnsi="Trebuchet MS"/>
          <w:sz w:val="20"/>
          <w:szCs w:val="20"/>
          <w:u w:val="single"/>
        </w:rPr>
        <w:t>London General Insurance Limited (LGI)</w:t>
      </w:r>
    </w:p>
    <w:p w14:paraId="1E6F41BE" w14:textId="2A628619" w:rsidR="00241199" w:rsidRPr="007337C6" w:rsidRDefault="00241199" w:rsidP="006C5658">
      <w:pPr>
        <w:rPr>
          <w:rFonts w:ascii="Trebuchet MS" w:hAnsi="Trebuchet MS"/>
          <w:sz w:val="20"/>
          <w:szCs w:val="20"/>
        </w:rPr>
      </w:pPr>
      <w:r w:rsidRPr="007337C6">
        <w:rPr>
          <w:rFonts w:ascii="Trebuchet MS" w:hAnsi="Trebuchet MS"/>
          <w:b/>
          <w:bCs/>
          <w:i/>
          <w:iCs/>
          <w:sz w:val="20"/>
          <w:szCs w:val="20"/>
        </w:rPr>
        <w:t xml:space="preserve">Quota Share reinsurance </w:t>
      </w:r>
      <w:proofErr w:type="gramStart"/>
      <w:r w:rsidRPr="007337C6">
        <w:rPr>
          <w:rFonts w:ascii="Trebuchet MS" w:hAnsi="Trebuchet MS"/>
          <w:b/>
          <w:bCs/>
          <w:i/>
          <w:iCs/>
          <w:sz w:val="20"/>
          <w:szCs w:val="20"/>
        </w:rPr>
        <w:t>recapture</w:t>
      </w:r>
      <w:proofErr w:type="gramEnd"/>
      <w:r w:rsidRPr="007337C6">
        <w:rPr>
          <w:rFonts w:ascii="Trebuchet MS" w:hAnsi="Trebuchet MS"/>
          <w:b/>
          <w:bCs/>
          <w:i/>
          <w:iCs/>
          <w:sz w:val="20"/>
          <w:szCs w:val="20"/>
        </w:rPr>
        <w:t xml:space="preserve"> for European business –</w:t>
      </w:r>
      <w:r w:rsidRPr="007337C6">
        <w:rPr>
          <w:rFonts w:ascii="Trebuchet MS" w:hAnsi="Trebuchet MS"/>
          <w:sz w:val="20"/>
          <w:szCs w:val="20"/>
        </w:rPr>
        <w:t xml:space="preserve"> The quota share </w:t>
      </w:r>
      <w:r w:rsidR="00D55E88" w:rsidRPr="007337C6">
        <w:rPr>
          <w:rFonts w:ascii="Trebuchet MS" w:hAnsi="Trebuchet MS"/>
          <w:sz w:val="20"/>
          <w:szCs w:val="20"/>
        </w:rPr>
        <w:t xml:space="preserve">(QS) </w:t>
      </w:r>
      <w:r w:rsidR="00B55943" w:rsidRPr="007337C6">
        <w:rPr>
          <w:rFonts w:ascii="Trebuchet MS" w:hAnsi="Trebuchet MS"/>
          <w:sz w:val="20"/>
          <w:szCs w:val="20"/>
        </w:rPr>
        <w:t xml:space="preserve">reinsurance </w:t>
      </w:r>
      <w:r w:rsidRPr="007337C6">
        <w:rPr>
          <w:rFonts w:ascii="Trebuchet MS" w:hAnsi="Trebuchet MS"/>
          <w:sz w:val="20"/>
          <w:szCs w:val="20"/>
        </w:rPr>
        <w:t>provided by a group entity to cover LGI business needed to be recaptured, as th</w:t>
      </w:r>
      <w:r w:rsidR="00B55943" w:rsidRPr="007337C6">
        <w:rPr>
          <w:rFonts w:ascii="Trebuchet MS" w:hAnsi="Trebuchet MS"/>
          <w:sz w:val="20"/>
          <w:szCs w:val="20"/>
        </w:rPr>
        <w:t xml:space="preserve">at reinsurance arrangement will not transfer to AEI and therefore will not </w:t>
      </w:r>
      <w:r w:rsidRPr="007337C6">
        <w:rPr>
          <w:rFonts w:ascii="Trebuchet MS" w:hAnsi="Trebuchet MS"/>
          <w:sz w:val="20"/>
          <w:szCs w:val="20"/>
        </w:rPr>
        <w:t xml:space="preserve">apply to the European business after the transfer. The recapture means that the quota share </w:t>
      </w:r>
      <w:r w:rsidR="00B55943" w:rsidRPr="007337C6">
        <w:rPr>
          <w:rFonts w:ascii="Trebuchet MS" w:hAnsi="Trebuchet MS"/>
          <w:sz w:val="20"/>
          <w:szCs w:val="20"/>
        </w:rPr>
        <w:t xml:space="preserve">reinsurance </w:t>
      </w:r>
      <w:r w:rsidRPr="007337C6">
        <w:rPr>
          <w:rFonts w:ascii="Trebuchet MS" w:hAnsi="Trebuchet MS"/>
          <w:sz w:val="20"/>
          <w:szCs w:val="20"/>
        </w:rPr>
        <w:t>coverage of the business denominated in Euro and in Polish Zloty cease</w:t>
      </w:r>
      <w:r w:rsidR="00F45C61">
        <w:rPr>
          <w:rFonts w:ascii="Trebuchet MS" w:hAnsi="Trebuchet MS"/>
          <w:sz w:val="20"/>
          <w:szCs w:val="20"/>
        </w:rPr>
        <w:t>d</w:t>
      </w:r>
      <w:r w:rsidRPr="007337C6">
        <w:rPr>
          <w:rFonts w:ascii="Trebuchet MS" w:hAnsi="Trebuchet MS"/>
          <w:sz w:val="20"/>
          <w:szCs w:val="20"/>
        </w:rPr>
        <w:t xml:space="preserve"> from 1</w:t>
      </w:r>
      <w:r w:rsidRPr="007337C6">
        <w:rPr>
          <w:rFonts w:ascii="Trebuchet MS" w:hAnsi="Trebuchet MS"/>
          <w:sz w:val="20"/>
          <w:szCs w:val="20"/>
          <w:vertAlign w:val="superscript"/>
        </w:rPr>
        <w:t>st</w:t>
      </w:r>
      <w:r w:rsidRPr="007337C6">
        <w:rPr>
          <w:rFonts w:ascii="Trebuchet MS" w:hAnsi="Trebuchet MS"/>
          <w:sz w:val="20"/>
          <w:szCs w:val="20"/>
        </w:rPr>
        <w:t xml:space="preserve"> July 2020. A settlement amount has been agreed between LGI and the reinsurer whereby the reinsurer will pay the amount to LGI to stop providing reinsurance coverage for the relevant business. The settlement w</w:t>
      </w:r>
      <w:r w:rsidR="00664E4A">
        <w:rPr>
          <w:rFonts w:ascii="Trebuchet MS" w:hAnsi="Trebuchet MS"/>
          <w:sz w:val="20"/>
          <w:szCs w:val="20"/>
        </w:rPr>
        <w:t>as</w:t>
      </w:r>
      <w:r w:rsidRPr="007337C6">
        <w:rPr>
          <w:rFonts w:ascii="Trebuchet MS" w:hAnsi="Trebuchet MS"/>
          <w:sz w:val="20"/>
          <w:szCs w:val="20"/>
        </w:rPr>
        <w:t xml:space="preserve"> made in bonds and these assets will be transferred to AEI together with the gross liabilities related to the transferring European business.</w:t>
      </w:r>
      <w:r w:rsidR="00B11763" w:rsidRPr="007337C6">
        <w:rPr>
          <w:rFonts w:ascii="Trebuchet MS" w:hAnsi="Trebuchet MS"/>
          <w:sz w:val="20"/>
          <w:szCs w:val="20"/>
        </w:rPr>
        <w:t xml:space="preserve"> Note that this </w:t>
      </w:r>
      <w:r w:rsidR="00B55943" w:rsidRPr="007337C6">
        <w:rPr>
          <w:rFonts w:ascii="Trebuchet MS" w:hAnsi="Trebuchet MS"/>
          <w:sz w:val="20"/>
          <w:szCs w:val="20"/>
        </w:rPr>
        <w:t>quota share</w:t>
      </w:r>
      <w:r w:rsidR="00B11763" w:rsidRPr="007337C6">
        <w:rPr>
          <w:rFonts w:ascii="Trebuchet MS" w:hAnsi="Trebuchet MS"/>
          <w:sz w:val="20"/>
          <w:szCs w:val="20"/>
        </w:rPr>
        <w:t xml:space="preserve"> recapture was already mentioned in the initial report as an item to be completed before the Transfer and it has now been completed.</w:t>
      </w:r>
    </w:p>
    <w:p w14:paraId="1728F631" w14:textId="1E72A66C" w:rsidR="0020281C" w:rsidRPr="007337C6" w:rsidRDefault="0020281C" w:rsidP="0020281C">
      <w:pPr>
        <w:pStyle w:val="Heading1"/>
        <w:numPr>
          <w:ilvl w:val="1"/>
          <w:numId w:val="1"/>
        </w:numPr>
        <w:rPr>
          <w:color w:val="0070C0"/>
        </w:rPr>
      </w:pPr>
      <w:bookmarkStart w:id="60" w:name="_Toc52451872"/>
      <w:r w:rsidRPr="007337C6">
        <w:rPr>
          <w:color w:val="0070C0"/>
        </w:rPr>
        <w:t>Non-Transferring business</w:t>
      </w:r>
      <w:bookmarkEnd w:id="60"/>
    </w:p>
    <w:p w14:paraId="1979763E" w14:textId="19E6F408" w:rsidR="0020281C" w:rsidRPr="007337C6" w:rsidRDefault="0020281C" w:rsidP="0020281C">
      <w:pPr>
        <w:rPr>
          <w:rFonts w:ascii="Trebuchet MS" w:hAnsi="Trebuchet MS"/>
          <w:sz w:val="20"/>
          <w:szCs w:val="20"/>
        </w:rPr>
      </w:pPr>
      <w:r w:rsidRPr="007337C6">
        <w:rPr>
          <w:rFonts w:ascii="Trebuchet MS" w:hAnsi="Trebuchet MS"/>
          <w:sz w:val="20"/>
          <w:szCs w:val="20"/>
        </w:rPr>
        <w:t>This section of the report highlights development in the business since the initial report that might have a relevance to the Non-Transferring business</w:t>
      </w:r>
      <w:r w:rsidR="00F45C61">
        <w:rPr>
          <w:rFonts w:ascii="Trebuchet MS" w:hAnsi="Trebuchet MS"/>
          <w:sz w:val="20"/>
          <w:szCs w:val="20"/>
        </w:rPr>
        <w:t>.</w:t>
      </w:r>
    </w:p>
    <w:p w14:paraId="5234DA47" w14:textId="77777777" w:rsidR="00305045" w:rsidRPr="007337C6" w:rsidRDefault="00305045" w:rsidP="00305045">
      <w:pPr>
        <w:rPr>
          <w:rFonts w:ascii="Trebuchet MS" w:hAnsi="Trebuchet MS"/>
          <w:sz w:val="20"/>
          <w:szCs w:val="20"/>
          <w:u w:val="single"/>
        </w:rPr>
      </w:pPr>
      <w:r w:rsidRPr="007337C6">
        <w:rPr>
          <w:rFonts w:ascii="Trebuchet MS" w:hAnsi="Trebuchet MS"/>
          <w:sz w:val="20"/>
          <w:szCs w:val="20"/>
          <w:u w:val="single"/>
        </w:rPr>
        <w:t>Assurant General Insurance Limited (AGIL)</w:t>
      </w:r>
    </w:p>
    <w:p w14:paraId="0CCC5D6E" w14:textId="23A8FCED" w:rsidR="0020281C" w:rsidRPr="007337C6" w:rsidRDefault="00B11763" w:rsidP="006C5658">
      <w:pPr>
        <w:rPr>
          <w:rFonts w:ascii="Trebuchet MS" w:hAnsi="Trebuchet MS"/>
          <w:sz w:val="20"/>
          <w:szCs w:val="20"/>
        </w:rPr>
      </w:pPr>
      <w:r w:rsidRPr="007337C6">
        <w:rPr>
          <w:rFonts w:ascii="Trebuchet MS" w:hAnsi="Trebuchet MS"/>
          <w:b/>
          <w:bCs/>
          <w:i/>
          <w:iCs/>
          <w:sz w:val="20"/>
          <w:szCs w:val="20"/>
        </w:rPr>
        <w:t>C</w:t>
      </w:r>
      <w:r w:rsidR="00A14BAD" w:rsidRPr="007337C6">
        <w:rPr>
          <w:rFonts w:ascii="Trebuchet MS" w:hAnsi="Trebuchet MS"/>
          <w:b/>
          <w:bCs/>
          <w:i/>
          <w:iCs/>
          <w:sz w:val="20"/>
          <w:szCs w:val="20"/>
        </w:rPr>
        <w:t>ontract boundary</w:t>
      </w:r>
      <w:r w:rsidR="00F0214F" w:rsidRPr="007337C6">
        <w:rPr>
          <w:rFonts w:ascii="Trebuchet MS" w:hAnsi="Trebuchet MS"/>
          <w:b/>
          <w:bCs/>
          <w:i/>
          <w:iCs/>
          <w:sz w:val="20"/>
          <w:szCs w:val="20"/>
        </w:rPr>
        <w:t xml:space="preserve"> review</w:t>
      </w:r>
      <w:r w:rsidR="00D55E93" w:rsidRPr="007337C6">
        <w:rPr>
          <w:rFonts w:ascii="Trebuchet MS" w:hAnsi="Trebuchet MS"/>
          <w:sz w:val="20"/>
          <w:szCs w:val="20"/>
        </w:rPr>
        <w:t xml:space="preserve"> – In the initial report </w:t>
      </w:r>
      <w:r w:rsidRPr="007337C6">
        <w:rPr>
          <w:rFonts w:ascii="Trebuchet MS" w:hAnsi="Trebuchet MS"/>
          <w:sz w:val="20"/>
          <w:szCs w:val="20"/>
        </w:rPr>
        <w:t xml:space="preserve">it was mentioned that </w:t>
      </w:r>
      <w:r w:rsidR="00D55E93" w:rsidRPr="007337C6">
        <w:rPr>
          <w:rFonts w:ascii="Trebuchet MS" w:hAnsi="Trebuchet MS"/>
          <w:sz w:val="20"/>
          <w:szCs w:val="20"/>
        </w:rPr>
        <w:t xml:space="preserve">the </w:t>
      </w:r>
      <w:proofErr w:type="spellStart"/>
      <w:r w:rsidR="00D55E93" w:rsidRPr="007337C6">
        <w:rPr>
          <w:rFonts w:ascii="Trebuchet MS" w:hAnsi="Trebuchet MS"/>
          <w:sz w:val="20"/>
          <w:szCs w:val="20"/>
        </w:rPr>
        <w:t>TPs</w:t>
      </w:r>
      <w:proofErr w:type="spellEnd"/>
      <w:r w:rsidR="00D55E93" w:rsidRPr="007337C6">
        <w:rPr>
          <w:rFonts w:ascii="Trebuchet MS" w:hAnsi="Trebuchet MS"/>
          <w:sz w:val="20"/>
          <w:szCs w:val="20"/>
        </w:rPr>
        <w:t xml:space="preserve"> of </w:t>
      </w:r>
      <w:r w:rsidRPr="007337C6">
        <w:rPr>
          <w:rFonts w:ascii="Trebuchet MS" w:hAnsi="Trebuchet MS"/>
          <w:sz w:val="20"/>
          <w:szCs w:val="20"/>
        </w:rPr>
        <w:t>a specific UK scheme</w:t>
      </w:r>
      <w:r w:rsidR="00D55E93" w:rsidRPr="007337C6">
        <w:rPr>
          <w:rFonts w:ascii="Trebuchet MS" w:hAnsi="Trebuchet MS"/>
          <w:sz w:val="20"/>
          <w:szCs w:val="20"/>
        </w:rPr>
        <w:t xml:space="preserve"> contract (</w:t>
      </w:r>
      <w:r w:rsidRPr="007337C6">
        <w:rPr>
          <w:rFonts w:ascii="Trebuchet MS" w:hAnsi="Trebuchet MS"/>
          <w:sz w:val="20"/>
          <w:szCs w:val="20"/>
        </w:rPr>
        <w:t>3-year</w:t>
      </w:r>
      <w:r w:rsidR="00D55E93" w:rsidRPr="007337C6">
        <w:rPr>
          <w:rFonts w:ascii="Trebuchet MS" w:hAnsi="Trebuchet MS"/>
          <w:sz w:val="20"/>
          <w:szCs w:val="20"/>
        </w:rPr>
        <w:t xml:space="preserve"> contract that started in year 201</w:t>
      </w:r>
      <w:r w:rsidR="007578C9">
        <w:rPr>
          <w:rFonts w:ascii="Trebuchet MS" w:hAnsi="Trebuchet MS"/>
          <w:sz w:val="20"/>
          <w:szCs w:val="20"/>
        </w:rPr>
        <w:t>9</w:t>
      </w:r>
      <w:r w:rsidR="00D55E93" w:rsidRPr="007337C6">
        <w:rPr>
          <w:rFonts w:ascii="Trebuchet MS" w:hAnsi="Trebuchet MS"/>
          <w:sz w:val="20"/>
          <w:szCs w:val="20"/>
        </w:rPr>
        <w:t>) have assumed a contract boundary of one year</w:t>
      </w:r>
      <w:r w:rsidRPr="007337C6">
        <w:rPr>
          <w:rFonts w:ascii="Trebuchet MS" w:hAnsi="Trebuchet MS"/>
          <w:sz w:val="20"/>
          <w:szCs w:val="20"/>
        </w:rPr>
        <w:t xml:space="preserve"> and this was under review</w:t>
      </w:r>
      <w:r w:rsidRPr="007337C6">
        <w:rPr>
          <w:rFonts w:ascii="Trebuchet MS" w:hAnsi="Trebuchet MS" w:cs="Arial"/>
          <w:sz w:val="20"/>
          <w:szCs w:val="20"/>
        </w:rPr>
        <w:t xml:space="preserve"> in respect of the reprice clauses.</w:t>
      </w:r>
      <w:r w:rsidR="00C649FD">
        <w:rPr>
          <w:rFonts w:ascii="Trebuchet MS" w:hAnsi="Trebuchet MS" w:cs="Arial"/>
          <w:sz w:val="20"/>
          <w:szCs w:val="20"/>
        </w:rPr>
        <w:t xml:space="preserve"> </w:t>
      </w:r>
      <w:r w:rsidR="00C649FD" w:rsidRPr="00C649FD">
        <w:rPr>
          <w:rFonts w:ascii="Trebuchet MS" w:hAnsi="Trebuchet MS" w:cs="Arial"/>
          <w:sz w:val="20"/>
          <w:szCs w:val="20"/>
        </w:rPr>
        <w:t>We assumed a 1</w:t>
      </w:r>
      <w:r w:rsidR="00C649FD">
        <w:rPr>
          <w:rFonts w:ascii="Trebuchet MS" w:hAnsi="Trebuchet MS" w:cs="Arial"/>
          <w:sz w:val="20"/>
          <w:szCs w:val="20"/>
        </w:rPr>
        <w:t>-</w:t>
      </w:r>
      <w:r w:rsidR="00C649FD" w:rsidRPr="00C649FD">
        <w:rPr>
          <w:rFonts w:ascii="Trebuchet MS" w:hAnsi="Trebuchet MS" w:cs="Arial"/>
          <w:sz w:val="20"/>
          <w:szCs w:val="20"/>
        </w:rPr>
        <w:t>month contract boundary</w:t>
      </w:r>
      <w:r w:rsidR="00C649FD">
        <w:rPr>
          <w:rFonts w:ascii="Trebuchet MS" w:hAnsi="Trebuchet MS" w:cs="Arial"/>
          <w:sz w:val="20"/>
          <w:szCs w:val="20"/>
        </w:rPr>
        <w:t>,</w:t>
      </w:r>
      <w:r w:rsidR="00C649FD" w:rsidRPr="00C649FD">
        <w:rPr>
          <w:rFonts w:ascii="Trebuchet MS" w:hAnsi="Trebuchet MS" w:cs="Arial"/>
          <w:sz w:val="20"/>
          <w:szCs w:val="20"/>
        </w:rPr>
        <w:t xml:space="preserve"> given reprice rights in individual policies. </w:t>
      </w:r>
      <w:r w:rsidR="00C649FD">
        <w:rPr>
          <w:rFonts w:ascii="Trebuchet MS" w:hAnsi="Trebuchet MS" w:cs="Arial"/>
          <w:sz w:val="20"/>
          <w:szCs w:val="20"/>
        </w:rPr>
        <w:t xml:space="preserve"> However, t</w:t>
      </w:r>
      <w:r w:rsidR="00C649FD" w:rsidRPr="00C649FD">
        <w:rPr>
          <w:rFonts w:ascii="Trebuchet MS" w:hAnsi="Trebuchet MS" w:cs="Arial"/>
          <w:sz w:val="20"/>
          <w:szCs w:val="20"/>
        </w:rPr>
        <w:t xml:space="preserve">he review focused on the scheme of distribution </w:t>
      </w:r>
      <w:r w:rsidR="001C2805">
        <w:rPr>
          <w:rFonts w:ascii="Trebuchet MS" w:hAnsi="Trebuchet MS" w:cs="Arial"/>
          <w:sz w:val="20"/>
          <w:szCs w:val="20"/>
        </w:rPr>
        <w:t>which is a 3-year binder with</w:t>
      </w:r>
      <w:r w:rsidR="00FD34E6">
        <w:rPr>
          <w:rFonts w:ascii="Trebuchet MS" w:hAnsi="Trebuchet MS" w:cs="Arial"/>
          <w:sz w:val="20"/>
          <w:szCs w:val="20"/>
        </w:rPr>
        <w:t xml:space="preserve"> a</w:t>
      </w:r>
      <w:r w:rsidR="001C2805">
        <w:rPr>
          <w:rFonts w:ascii="Trebuchet MS" w:hAnsi="Trebuchet MS" w:cs="Arial"/>
          <w:sz w:val="20"/>
          <w:szCs w:val="20"/>
        </w:rPr>
        <w:t xml:space="preserve"> reprice clause </w:t>
      </w:r>
      <w:r w:rsidR="00C649FD" w:rsidRPr="00C649FD">
        <w:rPr>
          <w:rFonts w:ascii="Trebuchet MS" w:hAnsi="Trebuchet MS" w:cs="Arial"/>
          <w:sz w:val="20"/>
          <w:szCs w:val="20"/>
        </w:rPr>
        <w:t>and concluded that a 3</w:t>
      </w:r>
      <w:r w:rsidR="00C649FD">
        <w:rPr>
          <w:rFonts w:ascii="Trebuchet MS" w:hAnsi="Trebuchet MS" w:cs="Arial"/>
          <w:sz w:val="20"/>
          <w:szCs w:val="20"/>
        </w:rPr>
        <w:t>-</w:t>
      </w:r>
      <w:r w:rsidR="00C649FD" w:rsidRPr="00C649FD">
        <w:rPr>
          <w:rFonts w:ascii="Trebuchet MS" w:hAnsi="Trebuchet MS" w:cs="Arial"/>
          <w:sz w:val="20"/>
          <w:szCs w:val="20"/>
        </w:rPr>
        <w:t>year boundary was appropriate.</w:t>
      </w:r>
      <w:r w:rsidR="00C649FD">
        <w:rPr>
          <w:rFonts w:ascii="Trebuchet MS" w:hAnsi="Trebuchet MS" w:cs="Arial"/>
          <w:sz w:val="20"/>
          <w:szCs w:val="20"/>
        </w:rPr>
        <w:t xml:space="preserve"> </w:t>
      </w:r>
      <w:r w:rsidRPr="007337C6">
        <w:rPr>
          <w:rFonts w:ascii="Trebuchet MS" w:hAnsi="Trebuchet MS" w:cs="Arial"/>
          <w:sz w:val="20"/>
          <w:szCs w:val="20"/>
        </w:rPr>
        <w:t xml:space="preserve">Since the Chief Actuary report was issued, this review has completed following AGIL’s year-end audit and has resulted in a reduction in technical provision applied at Q4 2019 of </w:t>
      </w:r>
      <w:r w:rsidR="00652D8B" w:rsidRPr="007337C6">
        <w:rPr>
          <w:rFonts w:ascii="Trebuchet MS" w:hAnsi="Trebuchet MS" w:cs="Arial"/>
          <w:sz w:val="20"/>
          <w:szCs w:val="20"/>
        </w:rPr>
        <w:t>approximately £</w:t>
      </w:r>
      <w:r w:rsidR="00660597">
        <w:rPr>
          <w:rFonts w:ascii="Trebuchet MS" w:hAnsi="Trebuchet MS" w:cs="Arial"/>
          <w:sz w:val="20"/>
          <w:szCs w:val="20"/>
        </w:rPr>
        <w:t>7</w:t>
      </w:r>
      <w:r w:rsidR="00652D8B" w:rsidRPr="007337C6">
        <w:rPr>
          <w:rFonts w:ascii="Trebuchet MS" w:hAnsi="Trebuchet MS" w:cs="Arial"/>
          <w:sz w:val="20"/>
          <w:szCs w:val="20"/>
        </w:rPr>
        <w:t>m</w:t>
      </w:r>
      <w:r w:rsidRPr="007337C6">
        <w:rPr>
          <w:rFonts w:ascii="Trebuchet MS" w:hAnsi="Trebuchet MS" w:cs="Arial"/>
          <w:sz w:val="20"/>
          <w:szCs w:val="20"/>
        </w:rPr>
        <w:t xml:space="preserve"> offset by an increase in SCR of </w:t>
      </w:r>
      <w:r w:rsidR="00D55E88" w:rsidRPr="007337C6">
        <w:rPr>
          <w:rFonts w:ascii="Trebuchet MS" w:hAnsi="Trebuchet MS" w:cs="Arial"/>
          <w:sz w:val="20"/>
          <w:szCs w:val="20"/>
        </w:rPr>
        <w:t xml:space="preserve">approximately </w:t>
      </w:r>
      <w:r w:rsidR="00652D8B" w:rsidRPr="007337C6">
        <w:rPr>
          <w:rFonts w:ascii="Trebuchet MS" w:hAnsi="Trebuchet MS" w:cs="Arial"/>
          <w:sz w:val="20"/>
          <w:szCs w:val="20"/>
        </w:rPr>
        <w:t>£4m</w:t>
      </w:r>
      <w:r w:rsidRPr="007337C6">
        <w:rPr>
          <w:rFonts w:ascii="Trebuchet MS" w:hAnsi="Trebuchet MS" w:cs="Arial"/>
          <w:sz w:val="20"/>
          <w:szCs w:val="20"/>
        </w:rPr>
        <w:t xml:space="preserve"> to allow for a 2 year contract boundary period until this business expires</w:t>
      </w:r>
      <w:r w:rsidR="00D55E93" w:rsidRPr="007337C6">
        <w:rPr>
          <w:rFonts w:ascii="Trebuchet MS" w:hAnsi="Trebuchet MS"/>
          <w:sz w:val="20"/>
          <w:szCs w:val="20"/>
        </w:rPr>
        <w:t>.</w:t>
      </w:r>
      <w:r w:rsidR="001C2805">
        <w:rPr>
          <w:rFonts w:ascii="Trebuchet MS" w:hAnsi="Trebuchet MS"/>
          <w:sz w:val="20"/>
          <w:szCs w:val="20"/>
        </w:rPr>
        <w:t xml:space="preserve"> This increase in contract boundary was implemented at Q1 2020.</w:t>
      </w:r>
      <w:r w:rsidR="00D55E93" w:rsidRPr="007337C6">
        <w:rPr>
          <w:rFonts w:ascii="Trebuchet MS" w:hAnsi="Trebuchet MS"/>
          <w:sz w:val="20"/>
          <w:szCs w:val="20"/>
        </w:rPr>
        <w:t xml:space="preserve"> </w:t>
      </w:r>
    </w:p>
    <w:p w14:paraId="2CAC1AB8" w14:textId="77777777" w:rsidR="00F0214F" w:rsidRPr="007337C6" w:rsidRDefault="00F0214F" w:rsidP="00F0214F">
      <w:pPr>
        <w:rPr>
          <w:rFonts w:ascii="Trebuchet MS" w:hAnsi="Trebuchet MS"/>
          <w:sz w:val="20"/>
          <w:szCs w:val="20"/>
          <w:u w:val="single"/>
        </w:rPr>
      </w:pPr>
      <w:r w:rsidRPr="007337C6">
        <w:rPr>
          <w:rFonts w:ascii="Trebuchet MS" w:hAnsi="Trebuchet MS"/>
          <w:sz w:val="20"/>
          <w:szCs w:val="20"/>
          <w:u w:val="single"/>
        </w:rPr>
        <w:t>London General Insurance Limited (LGI)</w:t>
      </w:r>
    </w:p>
    <w:p w14:paraId="62A09882" w14:textId="0E4D734A" w:rsidR="00241199" w:rsidRDefault="00241199" w:rsidP="00241199">
      <w:pPr>
        <w:rPr>
          <w:rFonts w:ascii="Trebuchet MS" w:hAnsi="Trebuchet MS"/>
          <w:sz w:val="20"/>
          <w:szCs w:val="20"/>
        </w:rPr>
      </w:pPr>
      <w:r w:rsidRPr="007337C6">
        <w:rPr>
          <w:rFonts w:ascii="Trebuchet MS" w:hAnsi="Trebuchet MS"/>
          <w:sz w:val="20"/>
          <w:szCs w:val="20"/>
        </w:rPr>
        <w:t xml:space="preserve">No significant business development in the Non-Transferring portfolio other than the expected </w:t>
      </w:r>
      <w:r w:rsidR="005F65A3">
        <w:rPr>
          <w:rFonts w:ascii="Trebuchet MS" w:hAnsi="Trebuchet MS"/>
          <w:sz w:val="20"/>
          <w:szCs w:val="20"/>
        </w:rPr>
        <w:t>development</w:t>
      </w:r>
      <w:r w:rsidRPr="007337C6">
        <w:rPr>
          <w:rFonts w:ascii="Trebuchet MS" w:hAnsi="Trebuchet MS"/>
          <w:sz w:val="20"/>
          <w:szCs w:val="20"/>
        </w:rPr>
        <w:t xml:space="preserve"> of the business.</w:t>
      </w:r>
    </w:p>
    <w:p w14:paraId="4C4C9A46" w14:textId="31C758B5" w:rsidR="00082924" w:rsidRDefault="00082924" w:rsidP="00241199">
      <w:pPr>
        <w:rPr>
          <w:rFonts w:ascii="Trebuchet MS" w:hAnsi="Trebuchet MS"/>
          <w:sz w:val="20"/>
          <w:szCs w:val="20"/>
        </w:rPr>
      </w:pPr>
    </w:p>
    <w:p w14:paraId="47A2D319" w14:textId="0B0F310C" w:rsidR="00082924" w:rsidRDefault="00082924" w:rsidP="00241199">
      <w:pPr>
        <w:rPr>
          <w:rFonts w:ascii="Trebuchet MS" w:hAnsi="Trebuchet MS"/>
          <w:sz w:val="20"/>
          <w:szCs w:val="20"/>
        </w:rPr>
      </w:pPr>
    </w:p>
    <w:p w14:paraId="60D94C9C" w14:textId="77777777" w:rsidR="00082924" w:rsidRPr="006D7BB8" w:rsidRDefault="00082924" w:rsidP="00241199">
      <w:pPr>
        <w:rPr>
          <w:rFonts w:ascii="Trebuchet MS" w:hAnsi="Trebuchet MS"/>
          <w:sz w:val="20"/>
          <w:szCs w:val="20"/>
          <w:highlight w:val="yellow"/>
        </w:rPr>
      </w:pPr>
    </w:p>
    <w:p w14:paraId="725231CF" w14:textId="65AD86E0" w:rsidR="00F062E4" w:rsidRPr="007337C6" w:rsidRDefault="002C49C2" w:rsidP="002C49C2">
      <w:pPr>
        <w:pStyle w:val="Heading1"/>
        <w:numPr>
          <w:ilvl w:val="1"/>
          <w:numId w:val="1"/>
        </w:numPr>
        <w:rPr>
          <w:color w:val="0070C0"/>
        </w:rPr>
      </w:pPr>
      <w:bookmarkStart w:id="61" w:name="_Toc52451873"/>
      <w:r w:rsidRPr="007337C6">
        <w:rPr>
          <w:color w:val="0070C0"/>
        </w:rPr>
        <w:t>Updates from Transferee</w:t>
      </w:r>
      <w:bookmarkEnd w:id="61"/>
    </w:p>
    <w:p w14:paraId="66264BCD" w14:textId="77777777" w:rsidR="002C49C2" w:rsidRPr="007337C6" w:rsidRDefault="002C49C2" w:rsidP="002C49C2">
      <w:pPr>
        <w:pStyle w:val="ListParagraph"/>
        <w:rPr>
          <w:rFonts w:ascii="Trebuchet MS" w:hAnsi="Trebuchet MS"/>
        </w:rPr>
      </w:pPr>
    </w:p>
    <w:p w14:paraId="7F1DF2BC" w14:textId="0FC48A69" w:rsidR="00F062E4" w:rsidRPr="007337C6" w:rsidRDefault="00303170" w:rsidP="006C5658">
      <w:pPr>
        <w:rPr>
          <w:rFonts w:ascii="Trebuchet MS" w:hAnsi="Trebuchet MS"/>
          <w:sz w:val="20"/>
          <w:szCs w:val="20"/>
          <w:u w:val="single"/>
        </w:rPr>
      </w:pPr>
      <w:r w:rsidRPr="007337C6">
        <w:rPr>
          <w:rFonts w:ascii="Trebuchet MS" w:hAnsi="Trebuchet MS"/>
          <w:sz w:val="20"/>
          <w:szCs w:val="20"/>
          <w:u w:val="single"/>
        </w:rPr>
        <w:lastRenderedPageBreak/>
        <w:t>Assurant Europe Insurance</w:t>
      </w:r>
      <w:r w:rsidR="00F45C61">
        <w:rPr>
          <w:rFonts w:ascii="Trebuchet MS" w:hAnsi="Trebuchet MS"/>
          <w:sz w:val="20"/>
          <w:szCs w:val="20"/>
          <w:u w:val="single"/>
        </w:rPr>
        <w:t xml:space="preserve"> N.V.</w:t>
      </w:r>
      <w:r w:rsidRPr="007337C6">
        <w:rPr>
          <w:rFonts w:ascii="Trebuchet MS" w:hAnsi="Trebuchet MS"/>
          <w:sz w:val="20"/>
          <w:szCs w:val="20"/>
          <w:u w:val="single"/>
        </w:rPr>
        <w:t xml:space="preserve"> (</w:t>
      </w:r>
      <w:r w:rsidR="002C49C2" w:rsidRPr="007337C6">
        <w:rPr>
          <w:rFonts w:ascii="Trebuchet MS" w:hAnsi="Trebuchet MS"/>
          <w:sz w:val="20"/>
          <w:szCs w:val="20"/>
          <w:u w:val="single"/>
        </w:rPr>
        <w:t>AEI</w:t>
      </w:r>
      <w:r w:rsidRPr="007337C6">
        <w:rPr>
          <w:rFonts w:ascii="Trebuchet MS" w:hAnsi="Trebuchet MS"/>
          <w:sz w:val="20"/>
          <w:szCs w:val="20"/>
          <w:u w:val="single"/>
        </w:rPr>
        <w:t>)</w:t>
      </w:r>
    </w:p>
    <w:p w14:paraId="250660A6" w14:textId="4A84970C" w:rsidR="002C49C2" w:rsidRPr="007337C6" w:rsidRDefault="002C49C2" w:rsidP="00345C1C">
      <w:pPr>
        <w:rPr>
          <w:rFonts w:ascii="Trebuchet MS" w:hAnsi="Trebuchet MS"/>
          <w:sz w:val="20"/>
          <w:szCs w:val="20"/>
        </w:rPr>
      </w:pPr>
      <w:r w:rsidRPr="007337C6">
        <w:rPr>
          <w:rFonts w:ascii="Trebuchet MS" w:hAnsi="Trebuchet MS"/>
          <w:sz w:val="20"/>
          <w:szCs w:val="20"/>
        </w:rPr>
        <w:t xml:space="preserve">The company </w:t>
      </w:r>
      <w:r w:rsidR="003E3875" w:rsidRPr="007337C6">
        <w:rPr>
          <w:rFonts w:ascii="Trebuchet MS" w:hAnsi="Trebuchet MS"/>
          <w:sz w:val="20"/>
          <w:szCs w:val="20"/>
        </w:rPr>
        <w:t>was</w:t>
      </w:r>
      <w:r w:rsidRPr="007337C6">
        <w:rPr>
          <w:rFonts w:ascii="Trebuchet MS" w:hAnsi="Trebuchet MS"/>
          <w:sz w:val="20"/>
          <w:szCs w:val="20"/>
        </w:rPr>
        <w:t xml:space="preserve"> authorised on </w:t>
      </w:r>
      <w:r w:rsidR="004D3142" w:rsidRPr="007337C6">
        <w:rPr>
          <w:rFonts w:ascii="Trebuchet MS" w:hAnsi="Trebuchet MS"/>
          <w:sz w:val="20"/>
          <w:szCs w:val="20"/>
        </w:rPr>
        <w:t xml:space="preserve">9 June 2020 </w:t>
      </w:r>
      <w:r w:rsidR="003E3875" w:rsidRPr="007337C6">
        <w:rPr>
          <w:rFonts w:ascii="Trebuchet MS" w:hAnsi="Trebuchet MS"/>
          <w:sz w:val="20"/>
          <w:szCs w:val="20"/>
        </w:rPr>
        <w:t>as noted</w:t>
      </w:r>
      <w:r w:rsidRPr="007337C6">
        <w:rPr>
          <w:rFonts w:ascii="Trebuchet MS" w:hAnsi="Trebuchet MS"/>
          <w:sz w:val="20"/>
          <w:szCs w:val="20"/>
        </w:rPr>
        <w:t xml:space="preserve"> in the initial report. Since authorisation, AEI is fully operational and is ready to receive the transferring portfolio. However, AEI is </w:t>
      </w:r>
      <w:r w:rsidR="00082924">
        <w:rPr>
          <w:rFonts w:ascii="Trebuchet MS" w:hAnsi="Trebuchet MS"/>
          <w:sz w:val="20"/>
          <w:szCs w:val="20"/>
        </w:rPr>
        <w:t>writing</w:t>
      </w:r>
      <w:r w:rsidRPr="007337C6">
        <w:rPr>
          <w:rFonts w:ascii="Trebuchet MS" w:hAnsi="Trebuchet MS"/>
          <w:sz w:val="20"/>
          <w:szCs w:val="20"/>
        </w:rPr>
        <w:t xml:space="preserve"> new business (Front book) before the transferring portfolio</w:t>
      </w:r>
      <w:r w:rsidR="003413B3" w:rsidRPr="007337C6">
        <w:rPr>
          <w:rFonts w:ascii="Trebuchet MS" w:hAnsi="Trebuchet MS"/>
          <w:sz w:val="20"/>
          <w:szCs w:val="20"/>
        </w:rPr>
        <w:t xml:space="preserve"> (Back book) </w:t>
      </w:r>
      <w:r w:rsidRPr="007337C6">
        <w:rPr>
          <w:rFonts w:ascii="Trebuchet MS" w:hAnsi="Trebuchet MS"/>
          <w:sz w:val="20"/>
          <w:szCs w:val="20"/>
        </w:rPr>
        <w:t xml:space="preserve">arrives </w:t>
      </w:r>
      <w:r w:rsidR="003E3875" w:rsidRPr="007337C6">
        <w:rPr>
          <w:rFonts w:ascii="Trebuchet MS" w:hAnsi="Trebuchet MS"/>
          <w:sz w:val="20"/>
          <w:szCs w:val="20"/>
        </w:rPr>
        <w:t xml:space="preserve">and will continue to write new business </w:t>
      </w:r>
      <w:r w:rsidR="00EE0016" w:rsidRPr="007337C6">
        <w:rPr>
          <w:rFonts w:ascii="Trebuchet MS" w:hAnsi="Trebuchet MS"/>
          <w:sz w:val="20"/>
          <w:szCs w:val="20"/>
        </w:rPr>
        <w:t>thereafter</w:t>
      </w:r>
      <w:r w:rsidRPr="007337C6">
        <w:rPr>
          <w:rFonts w:ascii="Trebuchet MS" w:hAnsi="Trebuchet MS"/>
          <w:sz w:val="20"/>
          <w:szCs w:val="20"/>
        </w:rPr>
        <w:t xml:space="preserve">. The following deals are </w:t>
      </w:r>
      <w:r w:rsidR="00E61CD4" w:rsidRPr="007337C6">
        <w:rPr>
          <w:rFonts w:ascii="Trebuchet MS" w:hAnsi="Trebuchet MS"/>
          <w:sz w:val="20"/>
          <w:szCs w:val="20"/>
        </w:rPr>
        <w:t xml:space="preserve">a subset of the deals </w:t>
      </w:r>
      <w:r w:rsidRPr="007337C6">
        <w:rPr>
          <w:rFonts w:ascii="Trebuchet MS" w:hAnsi="Trebuchet MS"/>
          <w:sz w:val="20"/>
          <w:szCs w:val="20"/>
        </w:rPr>
        <w:t>in the pipeline for AEI</w:t>
      </w:r>
      <w:r w:rsidR="00E61CD4" w:rsidRPr="007337C6">
        <w:rPr>
          <w:rFonts w:ascii="Trebuchet MS" w:hAnsi="Trebuchet MS"/>
          <w:sz w:val="20"/>
          <w:szCs w:val="20"/>
        </w:rPr>
        <w:t>; some of them are already live</w:t>
      </w:r>
      <w:r w:rsidRPr="007337C6">
        <w:rPr>
          <w:rFonts w:ascii="Trebuchet MS" w:hAnsi="Trebuchet MS"/>
          <w:sz w:val="20"/>
          <w:szCs w:val="20"/>
        </w:rPr>
        <w:t>.</w:t>
      </w:r>
    </w:p>
    <w:p w14:paraId="0E77E0DD" w14:textId="1482AE1A" w:rsidR="00E61CD4" w:rsidRPr="007337C6" w:rsidRDefault="00E61CD4" w:rsidP="00E61CD4">
      <w:pPr>
        <w:pStyle w:val="ListParagraph"/>
        <w:numPr>
          <w:ilvl w:val="0"/>
          <w:numId w:val="48"/>
        </w:numPr>
        <w:rPr>
          <w:rFonts w:ascii="Trebuchet MS" w:hAnsi="Trebuchet MS"/>
          <w:sz w:val="20"/>
          <w:szCs w:val="20"/>
        </w:rPr>
      </w:pPr>
      <w:r w:rsidRPr="007337C6">
        <w:rPr>
          <w:rFonts w:ascii="Trebuchet MS" w:hAnsi="Trebuchet MS"/>
          <w:b/>
          <w:bCs/>
          <w:i/>
          <w:iCs/>
          <w:sz w:val="20"/>
          <w:szCs w:val="20"/>
        </w:rPr>
        <w:t>Germany –</w:t>
      </w:r>
      <w:r w:rsidRPr="007337C6">
        <w:rPr>
          <w:rFonts w:ascii="Trebuchet MS" w:hAnsi="Trebuchet MS"/>
          <w:sz w:val="20"/>
          <w:szCs w:val="20"/>
        </w:rPr>
        <w:t xml:space="preserve"> </w:t>
      </w:r>
      <w:r w:rsidR="003413B3" w:rsidRPr="007337C6">
        <w:rPr>
          <w:rFonts w:ascii="Trebuchet MS" w:hAnsi="Trebuchet MS"/>
          <w:sz w:val="20"/>
          <w:szCs w:val="20"/>
        </w:rPr>
        <w:t>A</w:t>
      </w:r>
      <w:r w:rsidRPr="007337C6">
        <w:rPr>
          <w:rFonts w:ascii="Trebuchet MS" w:hAnsi="Trebuchet MS"/>
          <w:sz w:val="20"/>
          <w:szCs w:val="20"/>
        </w:rPr>
        <w:t xml:space="preserve"> new </w:t>
      </w:r>
      <w:r w:rsidR="003413B3" w:rsidRPr="007337C6">
        <w:rPr>
          <w:rFonts w:ascii="Trebuchet MS" w:hAnsi="Trebuchet MS"/>
          <w:sz w:val="20"/>
          <w:szCs w:val="20"/>
        </w:rPr>
        <w:t xml:space="preserve">(Motor Warranty) </w:t>
      </w:r>
      <w:r w:rsidRPr="007337C6">
        <w:rPr>
          <w:rFonts w:ascii="Trebuchet MS" w:hAnsi="Trebuchet MS"/>
          <w:sz w:val="20"/>
          <w:szCs w:val="20"/>
        </w:rPr>
        <w:t>contract between AEI and</w:t>
      </w:r>
      <w:r w:rsidR="003413B3" w:rsidRPr="007337C6">
        <w:rPr>
          <w:rFonts w:ascii="Trebuchet MS" w:hAnsi="Trebuchet MS"/>
          <w:sz w:val="20"/>
          <w:szCs w:val="20"/>
        </w:rPr>
        <w:t xml:space="preserve"> the</w:t>
      </w:r>
      <w:r w:rsidRPr="007337C6">
        <w:rPr>
          <w:rFonts w:ascii="Trebuchet MS" w:hAnsi="Trebuchet MS"/>
          <w:sz w:val="20"/>
          <w:szCs w:val="20"/>
        </w:rPr>
        <w:t xml:space="preserve"> German</w:t>
      </w:r>
      <w:r w:rsidR="003413B3" w:rsidRPr="007337C6">
        <w:rPr>
          <w:rFonts w:ascii="Trebuchet MS" w:hAnsi="Trebuchet MS"/>
          <w:sz w:val="20"/>
          <w:szCs w:val="20"/>
        </w:rPr>
        <w:t xml:space="preserve"> branch of an international car manufacturer</w:t>
      </w:r>
      <w:r w:rsidRPr="007337C6">
        <w:rPr>
          <w:rFonts w:ascii="Trebuchet MS" w:hAnsi="Trebuchet MS"/>
          <w:sz w:val="20"/>
          <w:szCs w:val="20"/>
        </w:rPr>
        <w:t xml:space="preserve"> is live since </w:t>
      </w:r>
      <w:r w:rsidR="00F45C61">
        <w:rPr>
          <w:rFonts w:ascii="Trebuchet MS" w:hAnsi="Trebuchet MS"/>
          <w:sz w:val="20"/>
          <w:szCs w:val="20"/>
        </w:rPr>
        <w:t xml:space="preserve">the </w:t>
      </w:r>
      <w:r w:rsidRPr="007337C6">
        <w:rPr>
          <w:rFonts w:ascii="Trebuchet MS" w:hAnsi="Trebuchet MS"/>
          <w:sz w:val="20"/>
          <w:szCs w:val="20"/>
        </w:rPr>
        <w:t xml:space="preserve">beginning of </w:t>
      </w:r>
      <w:r w:rsidR="007B3403">
        <w:rPr>
          <w:rFonts w:ascii="Trebuchet MS" w:hAnsi="Trebuchet MS"/>
          <w:sz w:val="20"/>
          <w:szCs w:val="20"/>
        </w:rPr>
        <w:t>July</w:t>
      </w:r>
    </w:p>
    <w:p w14:paraId="27FA3D74" w14:textId="7ACE1C16" w:rsidR="00E61CD4" w:rsidRPr="007337C6" w:rsidRDefault="003413B3" w:rsidP="00E61CD4">
      <w:pPr>
        <w:pStyle w:val="ListParagraph"/>
        <w:numPr>
          <w:ilvl w:val="0"/>
          <w:numId w:val="48"/>
        </w:numPr>
        <w:rPr>
          <w:rFonts w:ascii="Trebuchet MS" w:hAnsi="Trebuchet MS"/>
          <w:sz w:val="20"/>
          <w:szCs w:val="20"/>
        </w:rPr>
      </w:pPr>
      <w:r w:rsidRPr="007337C6">
        <w:rPr>
          <w:rFonts w:ascii="Trebuchet MS" w:hAnsi="Trebuchet MS"/>
          <w:b/>
          <w:bCs/>
          <w:i/>
          <w:iCs/>
          <w:sz w:val="20"/>
          <w:szCs w:val="20"/>
        </w:rPr>
        <w:t>Online shopping insurance</w:t>
      </w:r>
      <w:r w:rsidR="00E61CD4" w:rsidRPr="007337C6">
        <w:rPr>
          <w:rFonts w:ascii="Trebuchet MS" w:hAnsi="Trebuchet MS"/>
          <w:b/>
          <w:bCs/>
          <w:i/>
          <w:iCs/>
          <w:sz w:val="20"/>
          <w:szCs w:val="20"/>
        </w:rPr>
        <w:t xml:space="preserve"> –</w:t>
      </w:r>
      <w:r w:rsidR="00E61CD4" w:rsidRPr="007337C6">
        <w:rPr>
          <w:rFonts w:ascii="Trebuchet MS" w:hAnsi="Trebuchet MS"/>
          <w:sz w:val="20"/>
          <w:szCs w:val="20"/>
        </w:rPr>
        <w:t xml:space="preserve"> </w:t>
      </w:r>
      <w:r w:rsidRPr="007337C6">
        <w:rPr>
          <w:rFonts w:ascii="Trebuchet MS" w:hAnsi="Trebuchet MS"/>
          <w:sz w:val="20"/>
          <w:szCs w:val="20"/>
        </w:rPr>
        <w:t>A</w:t>
      </w:r>
      <w:r w:rsidR="00E61CD4" w:rsidRPr="007337C6">
        <w:rPr>
          <w:rFonts w:ascii="Trebuchet MS" w:hAnsi="Trebuchet MS"/>
          <w:sz w:val="20"/>
          <w:szCs w:val="20"/>
        </w:rPr>
        <w:t xml:space="preserve"> new contract between </w:t>
      </w:r>
      <w:r w:rsidRPr="007337C6">
        <w:rPr>
          <w:rFonts w:ascii="Trebuchet MS" w:hAnsi="Trebuchet MS"/>
          <w:sz w:val="20"/>
          <w:szCs w:val="20"/>
        </w:rPr>
        <w:t>a world leader in online shopping</w:t>
      </w:r>
      <w:r w:rsidR="00E61CD4" w:rsidRPr="007337C6">
        <w:rPr>
          <w:rFonts w:ascii="Trebuchet MS" w:hAnsi="Trebuchet MS"/>
          <w:sz w:val="20"/>
          <w:szCs w:val="20"/>
        </w:rPr>
        <w:t xml:space="preserve"> and AEI for gadget and electronics insurance is effective </w:t>
      </w:r>
      <w:r w:rsidR="00664E4A">
        <w:rPr>
          <w:rFonts w:ascii="Trebuchet MS" w:hAnsi="Trebuchet MS"/>
          <w:sz w:val="20"/>
          <w:szCs w:val="20"/>
        </w:rPr>
        <w:t>since</w:t>
      </w:r>
      <w:r w:rsidR="00E61CD4" w:rsidRPr="007337C6">
        <w:rPr>
          <w:rFonts w:ascii="Trebuchet MS" w:hAnsi="Trebuchet MS"/>
          <w:sz w:val="20"/>
          <w:szCs w:val="20"/>
        </w:rPr>
        <w:t xml:space="preserve"> early September for Germany, Austria, France, Spain and Italy.     </w:t>
      </w:r>
    </w:p>
    <w:p w14:paraId="1839E41E" w14:textId="7A770E81" w:rsidR="00F35C32" w:rsidRPr="007337C6" w:rsidRDefault="00905E7C" w:rsidP="00165C01">
      <w:pPr>
        <w:pStyle w:val="ListParagraph"/>
        <w:numPr>
          <w:ilvl w:val="0"/>
          <w:numId w:val="48"/>
        </w:numPr>
        <w:rPr>
          <w:rFonts w:ascii="Trebuchet MS" w:hAnsi="Trebuchet MS"/>
          <w:sz w:val="20"/>
          <w:szCs w:val="20"/>
          <w:u w:val="single"/>
        </w:rPr>
      </w:pPr>
      <w:bookmarkStart w:id="62" w:name="_Hlk46745718"/>
      <w:r w:rsidRPr="007337C6">
        <w:rPr>
          <w:rFonts w:ascii="Trebuchet MS" w:hAnsi="Trebuchet MS"/>
          <w:b/>
          <w:bCs/>
          <w:i/>
          <w:iCs/>
          <w:sz w:val="20"/>
          <w:szCs w:val="20"/>
        </w:rPr>
        <w:t>Online mobile phone insurance offering</w:t>
      </w:r>
      <w:r w:rsidR="00E61CD4" w:rsidRPr="007337C6">
        <w:rPr>
          <w:rFonts w:ascii="Trebuchet MS" w:hAnsi="Trebuchet MS"/>
          <w:b/>
          <w:bCs/>
          <w:i/>
          <w:iCs/>
          <w:sz w:val="20"/>
          <w:szCs w:val="20"/>
        </w:rPr>
        <w:t xml:space="preserve"> launched</w:t>
      </w:r>
      <w:r w:rsidR="00E61CD4" w:rsidRPr="007337C6">
        <w:rPr>
          <w:rFonts w:ascii="Trebuchet MS" w:hAnsi="Trebuchet MS"/>
          <w:sz w:val="20"/>
          <w:szCs w:val="20"/>
        </w:rPr>
        <w:t xml:space="preserve"> - This is a</w:t>
      </w:r>
      <w:r w:rsidR="003E4875" w:rsidRPr="007337C6">
        <w:rPr>
          <w:rFonts w:ascii="Trebuchet MS" w:hAnsi="Trebuchet MS"/>
          <w:sz w:val="20"/>
          <w:szCs w:val="20"/>
        </w:rPr>
        <w:t xml:space="preserve"> </w:t>
      </w:r>
      <w:r w:rsidR="00E61CD4" w:rsidRPr="007337C6">
        <w:rPr>
          <w:rFonts w:ascii="Trebuchet MS" w:hAnsi="Trebuchet MS"/>
          <w:sz w:val="20"/>
          <w:szCs w:val="20"/>
        </w:rPr>
        <w:t>n</w:t>
      </w:r>
      <w:r w:rsidR="003E4875" w:rsidRPr="007337C6">
        <w:rPr>
          <w:rFonts w:ascii="Trebuchet MS" w:hAnsi="Trebuchet MS"/>
          <w:sz w:val="20"/>
          <w:szCs w:val="20"/>
        </w:rPr>
        <w:t>ew</w:t>
      </w:r>
      <w:r w:rsidR="00E61CD4" w:rsidRPr="007337C6">
        <w:rPr>
          <w:rFonts w:ascii="Trebuchet MS" w:hAnsi="Trebuchet MS"/>
          <w:sz w:val="20"/>
          <w:szCs w:val="20"/>
        </w:rPr>
        <w:t xml:space="preserve"> online offering for mobile phones and gadget insurance</w:t>
      </w:r>
      <w:r w:rsidRPr="007337C6">
        <w:rPr>
          <w:rFonts w:ascii="Trebuchet MS" w:hAnsi="Trebuchet MS"/>
          <w:sz w:val="20"/>
          <w:szCs w:val="20"/>
        </w:rPr>
        <w:t xml:space="preserve"> offered by Assurant to a leading mobile phone company</w:t>
      </w:r>
      <w:r w:rsidR="00E61CD4" w:rsidRPr="007337C6">
        <w:rPr>
          <w:rFonts w:ascii="Trebuchet MS" w:hAnsi="Trebuchet MS"/>
          <w:sz w:val="20"/>
          <w:szCs w:val="20"/>
        </w:rPr>
        <w:t xml:space="preserve">. Launched in Italy </w:t>
      </w:r>
      <w:r w:rsidR="007B3403">
        <w:rPr>
          <w:rFonts w:ascii="Trebuchet MS" w:hAnsi="Trebuchet MS"/>
          <w:sz w:val="20"/>
          <w:szCs w:val="20"/>
        </w:rPr>
        <w:t xml:space="preserve">and Romania </w:t>
      </w:r>
      <w:r w:rsidR="00E61CD4" w:rsidRPr="007337C6">
        <w:rPr>
          <w:rFonts w:ascii="Trebuchet MS" w:hAnsi="Trebuchet MS"/>
          <w:sz w:val="20"/>
          <w:szCs w:val="20"/>
        </w:rPr>
        <w:t>in mid-July with more countries to follow.</w:t>
      </w:r>
      <w:bookmarkEnd w:id="62"/>
    </w:p>
    <w:p w14:paraId="79644F0F" w14:textId="2DE4CD91" w:rsidR="00F35C32" w:rsidRPr="007337C6" w:rsidRDefault="00F35C32" w:rsidP="00F35C32">
      <w:pPr>
        <w:pStyle w:val="ListParagraph"/>
        <w:numPr>
          <w:ilvl w:val="0"/>
          <w:numId w:val="48"/>
        </w:numPr>
        <w:rPr>
          <w:rFonts w:ascii="Trebuchet MS" w:hAnsi="Trebuchet MS"/>
          <w:b/>
          <w:bCs/>
          <w:i/>
          <w:iCs/>
          <w:sz w:val="20"/>
          <w:szCs w:val="20"/>
        </w:rPr>
      </w:pPr>
      <w:r w:rsidRPr="007337C6">
        <w:rPr>
          <w:rFonts w:ascii="Trebuchet MS" w:eastAsiaTheme="minorHAnsi" w:hAnsi="Trebuchet MS"/>
          <w:b/>
          <w:bCs/>
          <w:i/>
          <w:iCs/>
          <w:sz w:val="20"/>
          <w:szCs w:val="20"/>
          <w:lang w:eastAsia="en-US"/>
        </w:rPr>
        <w:t>Renewal of a major Spanish client</w:t>
      </w:r>
      <w:r w:rsidRPr="007337C6">
        <w:rPr>
          <w:rFonts w:ascii="Trebuchet MS" w:eastAsiaTheme="minorHAnsi" w:hAnsi="Trebuchet MS"/>
          <w:i/>
          <w:iCs/>
          <w:sz w:val="20"/>
          <w:szCs w:val="20"/>
          <w:lang w:eastAsia="en-US"/>
        </w:rPr>
        <w:t xml:space="preserve"> </w:t>
      </w:r>
      <w:r w:rsidRPr="007337C6">
        <w:rPr>
          <w:rFonts w:ascii="Trebuchet MS" w:eastAsiaTheme="minorHAnsi" w:hAnsi="Trebuchet MS"/>
          <w:b/>
          <w:bCs/>
          <w:i/>
          <w:iCs/>
          <w:sz w:val="20"/>
          <w:szCs w:val="20"/>
          <w:lang w:eastAsia="en-US"/>
        </w:rPr>
        <w:t>–</w:t>
      </w:r>
      <w:r w:rsidRPr="007337C6">
        <w:rPr>
          <w:rFonts w:ascii="Trebuchet MS" w:eastAsiaTheme="minorHAnsi" w:hAnsi="Trebuchet MS"/>
          <w:b/>
          <w:bCs/>
          <w:sz w:val="20"/>
          <w:szCs w:val="20"/>
          <w:lang w:eastAsia="en-US"/>
        </w:rPr>
        <w:t xml:space="preserve"> </w:t>
      </w:r>
      <w:r w:rsidRPr="007337C6">
        <w:rPr>
          <w:rFonts w:ascii="Trebuchet MS" w:eastAsiaTheme="minorHAnsi" w:hAnsi="Trebuchet MS"/>
          <w:sz w:val="20"/>
          <w:szCs w:val="20"/>
          <w:lang w:eastAsia="en-US"/>
        </w:rPr>
        <w:t xml:space="preserve">A major contract has been renewed in Spain using AEI as a carrier; it is a </w:t>
      </w:r>
      <w:r w:rsidR="00F45C61">
        <w:rPr>
          <w:rFonts w:ascii="Trebuchet MS" w:eastAsiaTheme="minorHAnsi" w:hAnsi="Trebuchet MS"/>
          <w:sz w:val="20"/>
          <w:szCs w:val="20"/>
          <w:lang w:eastAsia="en-US"/>
        </w:rPr>
        <w:t>3</w:t>
      </w:r>
      <w:r w:rsidRPr="007337C6">
        <w:rPr>
          <w:rFonts w:ascii="Trebuchet MS" w:eastAsiaTheme="minorHAnsi" w:hAnsi="Trebuchet MS"/>
          <w:sz w:val="20"/>
          <w:szCs w:val="20"/>
          <w:lang w:eastAsia="en-US"/>
        </w:rPr>
        <w:t xml:space="preserve">-year deal with a reprice clause after 2 years with a financial institution offering mobile phone insurance to its customers as part of their added value accounts benefits package. The Actuarial Function understands that there is no unilateral exit clause, and that hence this may be treated as a 3 -year contract under </w:t>
      </w:r>
      <w:r w:rsidR="00082924">
        <w:rPr>
          <w:rFonts w:ascii="Trebuchet MS" w:eastAsiaTheme="minorHAnsi" w:hAnsi="Trebuchet MS"/>
          <w:sz w:val="20"/>
          <w:szCs w:val="20"/>
          <w:lang w:eastAsia="en-US"/>
        </w:rPr>
        <w:t>S</w:t>
      </w:r>
      <w:r w:rsidRPr="007337C6">
        <w:rPr>
          <w:rFonts w:ascii="Trebuchet MS" w:eastAsiaTheme="minorHAnsi" w:hAnsi="Trebuchet MS"/>
          <w:sz w:val="20"/>
          <w:szCs w:val="20"/>
          <w:lang w:eastAsia="en-US"/>
        </w:rPr>
        <w:t xml:space="preserve">olvency II as there does not appear to be a unilateral reprice clause in the contract.  While this matter is still undergoing discussions internally and with external consultants, the impact of moving to a full contract boundary of 3 years has been estimated to </w:t>
      </w:r>
      <w:r w:rsidRPr="007337C6">
        <w:rPr>
          <w:rFonts w:ascii="Trebuchet MS" w:hAnsi="Trebuchet MS"/>
          <w:sz w:val="20"/>
          <w:szCs w:val="20"/>
        </w:rPr>
        <w:t xml:space="preserve">provide an additional £3.5m of solvency support to AEI net of its SCR.  For simplicity of modelling, this is not reflected in the </w:t>
      </w:r>
      <w:proofErr w:type="spellStart"/>
      <w:r w:rsidRPr="007337C6">
        <w:rPr>
          <w:rFonts w:ascii="Trebuchet MS" w:hAnsi="Trebuchet MS"/>
          <w:sz w:val="20"/>
          <w:szCs w:val="20"/>
        </w:rPr>
        <w:t>proforma</w:t>
      </w:r>
      <w:proofErr w:type="spellEnd"/>
      <w:r w:rsidRPr="007337C6">
        <w:rPr>
          <w:rFonts w:ascii="Trebuchet MS" w:hAnsi="Trebuchet MS"/>
          <w:sz w:val="20"/>
          <w:szCs w:val="20"/>
        </w:rPr>
        <w:t xml:space="preserve"> solvency statements for AEI in this report as it is a benefit</w:t>
      </w:r>
      <w:r w:rsidR="002A0DCF">
        <w:rPr>
          <w:rFonts w:ascii="Trebuchet MS" w:hAnsi="Trebuchet MS"/>
          <w:sz w:val="20"/>
          <w:szCs w:val="20"/>
        </w:rPr>
        <w:t xml:space="preserve"> to AEI</w:t>
      </w:r>
      <w:r w:rsidRPr="007337C6">
        <w:rPr>
          <w:rFonts w:ascii="Trebuchet MS" w:hAnsi="Trebuchet MS"/>
          <w:sz w:val="20"/>
          <w:szCs w:val="20"/>
        </w:rPr>
        <w:t xml:space="preserve">.  </w:t>
      </w:r>
    </w:p>
    <w:p w14:paraId="4F2DC46E" w14:textId="27946ABA" w:rsidR="00240EE6" w:rsidRPr="007337C6" w:rsidRDefault="00C44154" w:rsidP="00FA0241">
      <w:pPr>
        <w:pStyle w:val="Heading1"/>
        <w:numPr>
          <w:ilvl w:val="0"/>
          <w:numId w:val="1"/>
        </w:numPr>
        <w:rPr>
          <w:color w:val="0070C0"/>
        </w:rPr>
      </w:pPr>
      <w:bookmarkStart w:id="63" w:name="_Toc52451874"/>
      <w:r w:rsidRPr="007337C6">
        <w:rPr>
          <w:color w:val="0070C0"/>
        </w:rPr>
        <w:t xml:space="preserve">Update in </w:t>
      </w:r>
      <w:r w:rsidR="00410D2B" w:rsidRPr="007337C6">
        <w:rPr>
          <w:color w:val="0070C0"/>
        </w:rPr>
        <w:t xml:space="preserve">Financial Position </w:t>
      </w:r>
      <w:proofErr w:type="gramStart"/>
      <w:r w:rsidR="00410D2B" w:rsidRPr="007337C6">
        <w:rPr>
          <w:color w:val="0070C0"/>
        </w:rPr>
        <w:t>Before</w:t>
      </w:r>
      <w:proofErr w:type="gramEnd"/>
      <w:r w:rsidR="00410D2B" w:rsidRPr="007337C6">
        <w:rPr>
          <w:color w:val="0070C0"/>
        </w:rPr>
        <w:t xml:space="preserve"> </w:t>
      </w:r>
      <w:r w:rsidR="007C406D" w:rsidRPr="007337C6">
        <w:rPr>
          <w:color w:val="0070C0"/>
        </w:rPr>
        <w:t>and</w:t>
      </w:r>
      <w:r w:rsidR="00410D2B" w:rsidRPr="007337C6">
        <w:rPr>
          <w:color w:val="0070C0"/>
        </w:rPr>
        <w:t xml:space="preserve"> After </w:t>
      </w:r>
      <w:r w:rsidR="00C407B1" w:rsidRPr="007337C6">
        <w:rPr>
          <w:color w:val="0070C0"/>
        </w:rPr>
        <w:t>the Transfer</w:t>
      </w:r>
      <w:bookmarkEnd w:id="63"/>
      <w:r w:rsidR="00410D2B" w:rsidRPr="007337C6">
        <w:rPr>
          <w:color w:val="0070C0"/>
        </w:rPr>
        <w:t xml:space="preserve"> </w:t>
      </w:r>
    </w:p>
    <w:p w14:paraId="660F7384" w14:textId="11F24FCA" w:rsidR="00EC7973" w:rsidRPr="007337C6" w:rsidRDefault="004674E5" w:rsidP="00FA0241">
      <w:pPr>
        <w:pStyle w:val="Heading1"/>
        <w:numPr>
          <w:ilvl w:val="1"/>
          <w:numId w:val="1"/>
        </w:numPr>
        <w:rPr>
          <w:color w:val="0070C0"/>
        </w:rPr>
      </w:pPr>
      <w:bookmarkStart w:id="64" w:name="_Toc48907940"/>
      <w:bookmarkStart w:id="65" w:name="_Toc52451875"/>
      <w:r w:rsidRPr="007337C6">
        <w:rPr>
          <w:color w:val="0070C0"/>
        </w:rPr>
        <w:t>Changes in k</w:t>
      </w:r>
      <w:r w:rsidR="00241A05" w:rsidRPr="007337C6">
        <w:rPr>
          <w:color w:val="0070C0"/>
        </w:rPr>
        <w:t xml:space="preserve">ey assumptions in </w:t>
      </w:r>
      <w:r w:rsidR="0081436C" w:rsidRPr="007337C6">
        <w:rPr>
          <w:color w:val="0070C0"/>
        </w:rPr>
        <w:t>forecasting</w:t>
      </w:r>
      <w:r w:rsidR="00241A05" w:rsidRPr="007337C6">
        <w:rPr>
          <w:color w:val="0070C0"/>
        </w:rPr>
        <w:t xml:space="preserve"> the financial position</w:t>
      </w:r>
      <w:bookmarkEnd w:id="64"/>
      <w:bookmarkEnd w:id="65"/>
    </w:p>
    <w:p w14:paraId="37E94CA1" w14:textId="0386F11E" w:rsidR="008108A3" w:rsidRPr="007337C6" w:rsidRDefault="00793830" w:rsidP="00EC7973">
      <w:pPr>
        <w:rPr>
          <w:rFonts w:ascii="Trebuchet MS" w:hAnsi="Trebuchet MS" w:cs="Arial"/>
          <w:sz w:val="20"/>
          <w:szCs w:val="20"/>
        </w:rPr>
      </w:pPr>
      <w:r w:rsidRPr="007337C6">
        <w:rPr>
          <w:rFonts w:ascii="Trebuchet MS" w:hAnsi="Trebuchet MS" w:cs="Arial"/>
          <w:sz w:val="20"/>
          <w:szCs w:val="20"/>
        </w:rPr>
        <w:t xml:space="preserve">Subject to Court approval, the actual </w:t>
      </w:r>
      <w:r w:rsidR="00914ECD" w:rsidRPr="007337C6">
        <w:rPr>
          <w:rFonts w:ascii="Trebuchet MS" w:hAnsi="Trebuchet MS" w:cs="Arial"/>
          <w:sz w:val="20"/>
          <w:szCs w:val="20"/>
        </w:rPr>
        <w:t xml:space="preserve">Transfer will take place on </w:t>
      </w:r>
      <w:r w:rsidR="002578D7" w:rsidRPr="007337C6">
        <w:rPr>
          <w:rFonts w:ascii="Trebuchet MS" w:hAnsi="Trebuchet MS" w:cs="Arial"/>
          <w:sz w:val="20"/>
          <w:szCs w:val="20"/>
        </w:rPr>
        <w:t>2 November</w:t>
      </w:r>
      <w:r w:rsidR="00914ECD" w:rsidRPr="007337C6">
        <w:rPr>
          <w:rFonts w:ascii="Trebuchet MS" w:hAnsi="Trebuchet MS" w:cs="Arial"/>
          <w:sz w:val="20"/>
          <w:szCs w:val="20"/>
        </w:rPr>
        <w:t xml:space="preserve"> 2020. However, in </w:t>
      </w:r>
      <w:r w:rsidR="008108A3" w:rsidRPr="007337C6">
        <w:rPr>
          <w:rFonts w:ascii="Trebuchet MS" w:hAnsi="Trebuchet MS" w:cs="Arial"/>
          <w:sz w:val="20"/>
          <w:szCs w:val="20"/>
        </w:rPr>
        <w:t xml:space="preserve">the initial report </w:t>
      </w:r>
      <w:r w:rsidR="00914ECD" w:rsidRPr="007337C6">
        <w:rPr>
          <w:rFonts w:ascii="Trebuchet MS" w:hAnsi="Trebuchet MS" w:cs="Arial"/>
          <w:sz w:val="20"/>
          <w:szCs w:val="20"/>
        </w:rPr>
        <w:t xml:space="preserve">the financial assessment of the </w:t>
      </w:r>
      <w:r w:rsidR="00DE6ACA" w:rsidRPr="007337C6">
        <w:rPr>
          <w:rFonts w:ascii="Trebuchet MS" w:hAnsi="Trebuchet MS" w:cs="Arial"/>
          <w:sz w:val="20"/>
          <w:szCs w:val="20"/>
        </w:rPr>
        <w:t>“as-if” Transfer</w:t>
      </w:r>
      <w:r w:rsidR="00914ECD" w:rsidRPr="007337C6">
        <w:rPr>
          <w:rFonts w:ascii="Trebuchet MS" w:hAnsi="Trebuchet MS" w:cs="Arial"/>
          <w:sz w:val="20"/>
          <w:szCs w:val="20"/>
        </w:rPr>
        <w:t xml:space="preserve"> has been performed on the year end 2019 (YE19) financial position, as this is the last set of booked and audited financial statements. </w:t>
      </w:r>
      <w:r w:rsidR="00775F68" w:rsidRPr="007337C6">
        <w:rPr>
          <w:rFonts w:ascii="Trebuchet MS" w:hAnsi="Trebuchet MS" w:cs="Arial"/>
          <w:sz w:val="20"/>
          <w:szCs w:val="20"/>
        </w:rPr>
        <w:t xml:space="preserve">In addition, we have stressed the </w:t>
      </w:r>
      <w:r w:rsidR="00DE6ACA" w:rsidRPr="007337C6">
        <w:rPr>
          <w:rFonts w:ascii="Trebuchet MS" w:hAnsi="Trebuchet MS" w:cs="Arial"/>
          <w:sz w:val="20"/>
          <w:szCs w:val="20"/>
        </w:rPr>
        <w:t>“as-if” Transfer</w:t>
      </w:r>
      <w:r w:rsidR="00775F68" w:rsidRPr="007337C6">
        <w:rPr>
          <w:rFonts w:ascii="Trebuchet MS" w:hAnsi="Trebuchet MS" w:cs="Arial"/>
          <w:sz w:val="20"/>
          <w:szCs w:val="20"/>
        </w:rPr>
        <w:t xml:space="preserve"> financials with the impact of </w:t>
      </w:r>
      <w:r w:rsidR="005E55C1">
        <w:rPr>
          <w:rFonts w:ascii="Trebuchet MS" w:hAnsi="Trebuchet MS" w:cs="Arial"/>
          <w:sz w:val="20"/>
          <w:szCs w:val="20"/>
        </w:rPr>
        <w:t>COVID-19</w:t>
      </w:r>
      <w:r w:rsidR="00775F68" w:rsidRPr="007337C6">
        <w:rPr>
          <w:rFonts w:ascii="Trebuchet MS" w:hAnsi="Trebuchet MS" w:cs="Arial"/>
          <w:sz w:val="20"/>
          <w:szCs w:val="20"/>
        </w:rPr>
        <w:t xml:space="preserve">. </w:t>
      </w:r>
      <w:r w:rsidR="00914ECD" w:rsidRPr="007337C6">
        <w:rPr>
          <w:rFonts w:ascii="Trebuchet MS" w:hAnsi="Trebuchet MS" w:cs="Arial"/>
          <w:sz w:val="20"/>
          <w:szCs w:val="20"/>
        </w:rPr>
        <w:t>Further, we present</w:t>
      </w:r>
      <w:r w:rsidR="009D61D1" w:rsidRPr="007337C6">
        <w:rPr>
          <w:rFonts w:ascii="Trebuchet MS" w:hAnsi="Trebuchet MS" w:cs="Arial"/>
          <w:sz w:val="20"/>
          <w:szCs w:val="20"/>
        </w:rPr>
        <w:t>ed</w:t>
      </w:r>
      <w:r w:rsidR="00914ECD" w:rsidRPr="007337C6">
        <w:rPr>
          <w:rFonts w:ascii="Trebuchet MS" w:hAnsi="Trebuchet MS" w:cs="Arial"/>
          <w:sz w:val="20"/>
          <w:szCs w:val="20"/>
        </w:rPr>
        <w:t xml:space="preserve"> how the planned business of year 2020 is expected to impact the financials of the </w:t>
      </w:r>
      <w:r w:rsidR="005F04D9" w:rsidRPr="007337C6">
        <w:rPr>
          <w:rFonts w:ascii="Trebuchet MS" w:hAnsi="Trebuchet MS" w:cs="Arial"/>
          <w:sz w:val="20"/>
          <w:szCs w:val="20"/>
        </w:rPr>
        <w:t xml:space="preserve">actual </w:t>
      </w:r>
      <w:r w:rsidR="00914ECD" w:rsidRPr="007337C6">
        <w:rPr>
          <w:rFonts w:ascii="Trebuchet MS" w:hAnsi="Trebuchet MS" w:cs="Arial"/>
          <w:sz w:val="20"/>
          <w:szCs w:val="20"/>
        </w:rPr>
        <w:t>Transfer</w:t>
      </w:r>
      <w:r w:rsidR="005F04D9" w:rsidRPr="007337C6">
        <w:rPr>
          <w:rFonts w:ascii="Trebuchet MS" w:hAnsi="Trebuchet MS" w:cs="Arial"/>
          <w:sz w:val="20"/>
          <w:szCs w:val="20"/>
        </w:rPr>
        <w:t xml:space="preserve"> at 3Q20</w:t>
      </w:r>
      <w:r w:rsidR="00914ECD" w:rsidRPr="007337C6">
        <w:rPr>
          <w:rFonts w:ascii="Trebuchet MS" w:hAnsi="Trebuchet MS" w:cs="Arial"/>
          <w:sz w:val="20"/>
          <w:szCs w:val="20"/>
        </w:rPr>
        <w:t>.</w:t>
      </w:r>
      <w:r w:rsidR="005F04D9" w:rsidRPr="007337C6">
        <w:rPr>
          <w:rFonts w:ascii="Trebuchet MS" w:hAnsi="Trebuchet MS" w:cs="Arial"/>
          <w:sz w:val="20"/>
          <w:szCs w:val="20"/>
        </w:rPr>
        <w:t xml:space="preserve"> The 3Q20 capital position include</w:t>
      </w:r>
      <w:r w:rsidR="009D61D1" w:rsidRPr="007337C6">
        <w:rPr>
          <w:rFonts w:ascii="Trebuchet MS" w:hAnsi="Trebuchet MS" w:cs="Arial"/>
          <w:sz w:val="20"/>
          <w:szCs w:val="20"/>
        </w:rPr>
        <w:t>d</w:t>
      </w:r>
      <w:r w:rsidR="005F04D9" w:rsidRPr="007337C6">
        <w:rPr>
          <w:rFonts w:ascii="Trebuchet MS" w:hAnsi="Trebuchet MS" w:cs="Arial"/>
          <w:sz w:val="20"/>
          <w:szCs w:val="20"/>
        </w:rPr>
        <w:t xml:space="preserve"> the forecasted impact of </w:t>
      </w:r>
      <w:r w:rsidR="005E55C1">
        <w:rPr>
          <w:rFonts w:ascii="Trebuchet MS" w:hAnsi="Trebuchet MS" w:cs="Arial"/>
          <w:sz w:val="20"/>
          <w:szCs w:val="20"/>
        </w:rPr>
        <w:t>COVID-19</w:t>
      </w:r>
      <w:r w:rsidR="005F04D9" w:rsidRPr="007337C6">
        <w:rPr>
          <w:rFonts w:ascii="Trebuchet MS" w:hAnsi="Trebuchet MS" w:cs="Arial"/>
          <w:sz w:val="20"/>
          <w:szCs w:val="20"/>
        </w:rPr>
        <w:t>.</w:t>
      </w:r>
      <w:r w:rsidR="00775F68" w:rsidRPr="007337C6">
        <w:rPr>
          <w:rFonts w:ascii="Trebuchet MS" w:hAnsi="Trebuchet MS" w:cs="Arial"/>
          <w:sz w:val="20"/>
          <w:szCs w:val="20"/>
        </w:rPr>
        <w:t xml:space="preserve"> </w:t>
      </w:r>
      <w:r w:rsidR="00914ECD" w:rsidRPr="007337C6">
        <w:rPr>
          <w:rFonts w:ascii="Trebuchet MS" w:hAnsi="Trebuchet MS" w:cs="Arial"/>
          <w:sz w:val="20"/>
          <w:szCs w:val="20"/>
        </w:rPr>
        <w:t xml:space="preserve"> </w:t>
      </w:r>
    </w:p>
    <w:p w14:paraId="3B19F86B" w14:textId="4C53F52D" w:rsidR="00914ECD" w:rsidRPr="007337C6" w:rsidRDefault="008108A3" w:rsidP="00EC7973">
      <w:pPr>
        <w:rPr>
          <w:rFonts w:ascii="Trebuchet MS" w:hAnsi="Trebuchet MS" w:cs="Arial"/>
          <w:sz w:val="20"/>
          <w:szCs w:val="20"/>
        </w:rPr>
      </w:pPr>
      <w:r w:rsidRPr="007337C6">
        <w:rPr>
          <w:rFonts w:ascii="Trebuchet MS" w:hAnsi="Trebuchet MS" w:cs="Arial"/>
          <w:sz w:val="20"/>
          <w:szCs w:val="20"/>
        </w:rPr>
        <w:t>Th</w:t>
      </w:r>
      <w:r w:rsidR="009D61D1" w:rsidRPr="007337C6">
        <w:rPr>
          <w:rFonts w:ascii="Trebuchet MS" w:hAnsi="Trebuchet MS" w:cs="Arial"/>
          <w:sz w:val="20"/>
          <w:szCs w:val="20"/>
        </w:rPr>
        <w:t>is</w:t>
      </w:r>
      <w:r w:rsidRPr="007337C6">
        <w:rPr>
          <w:rFonts w:ascii="Trebuchet MS" w:hAnsi="Trebuchet MS" w:cs="Arial"/>
          <w:sz w:val="20"/>
          <w:szCs w:val="20"/>
        </w:rPr>
        <w:t xml:space="preserve"> supplementary report </w:t>
      </w:r>
      <w:r w:rsidR="009D61D1" w:rsidRPr="007337C6">
        <w:rPr>
          <w:rFonts w:ascii="Trebuchet MS" w:hAnsi="Trebuchet MS" w:cs="Arial"/>
          <w:sz w:val="20"/>
          <w:szCs w:val="20"/>
        </w:rPr>
        <w:t xml:space="preserve">provides similar information (“as-if” YE19 and 3Q20 forecast) updated as at 2Q20 and </w:t>
      </w:r>
      <w:r w:rsidRPr="007337C6">
        <w:rPr>
          <w:rFonts w:ascii="Trebuchet MS" w:hAnsi="Trebuchet MS" w:cs="Arial"/>
          <w:sz w:val="20"/>
          <w:szCs w:val="20"/>
        </w:rPr>
        <w:t>includes the position as at 2Q20 as new information.</w:t>
      </w:r>
    </w:p>
    <w:p w14:paraId="3CA3F5F6" w14:textId="704EEF88" w:rsidR="008108A3" w:rsidRPr="007337C6" w:rsidRDefault="009D61D1" w:rsidP="00EC7973">
      <w:pPr>
        <w:rPr>
          <w:rFonts w:ascii="Trebuchet MS" w:hAnsi="Trebuchet MS" w:cs="Arial"/>
          <w:sz w:val="20"/>
          <w:szCs w:val="20"/>
        </w:rPr>
      </w:pPr>
      <w:r w:rsidRPr="007337C6">
        <w:rPr>
          <w:rFonts w:ascii="Trebuchet MS" w:hAnsi="Trebuchet MS" w:cs="Arial"/>
          <w:sz w:val="20"/>
          <w:szCs w:val="20"/>
        </w:rPr>
        <w:t>Some of t</w:t>
      </w:r>
      <w:r w:rsidR="008108A3" w:rsidRPr="007337C6">
        <w:rPr>
          <w:rFonts w:ascii="Trebuchet MS" w:hAnsi="Trebuchet MS" w:cs="Arial"/>
          <w:sz w:val="20"/>
          <w:szCs w:val="20"/>
        </w:rPr>
        <w:t xml:space="preserve">he assumptions in </w:t>
      </w:r>
      <w:r w:rsidRPr="007337C6">
        <w:rPr>
          <w:rFonts w:ascii="Trebuchet MS" w:hAnsi="Trebuchet MS" w:cs="Arial"/>
          <w:sz w:val="20"/>
          <w:szCs w:val="20"/>
        </w:rPr>
        <w:t xml:space="preserve">preparing and </w:t>
      </w:r>
      <w:r w:rsidR="008108A3" w:rsidRPr="007337C6">
        <w:rPr>
          <w:rFonts w:ascii="Trebuchet MS" w:hAnsi="Trebuchet MS" w:cs="Arial"/>
          <w:sz w:val="20"/>
          <w:szCs w:val="20"/>
        </w:rPr>
        <w:t>forecasting the financial positions have changed from the initial report, only the amounts were updated where they have changed</w:t>
      </w:r>
      <w:r w:rsidRPr="007337C6">
        <w:rPr>
          <w:rFonts w:ascii="Trebuchet MS" w:hAnsi="Trebuchet MS" w:cs="Arial"/>
          <w:sz w:val="20"/>
          <w:szCs w:val="20"/>
        </w:rPr>
        <w:t>:</w:t>
      </w:r>
    </w:p>
    <w:p w14:paraId="6DDBCF9E" w14:textId="1AA4BEFB" w:rsidR="004471C5" w:rsidRPr="007337C6" w:rsidRDefault="004471C5" w:rsidP="004471C5">
      <w:pPr>
        <w:rPr>
          <w:rFonts w:ascii="Trebuchet MS" w:hAnsi="Trebuchet MS"/>
          <w:sz w:val="20"/>
          <w:szCs w:val="20"/>
          <w:lang w:val="en-US"/>
        </w:rPr>
      </w:pPr>
      <w:r w:rsidRPr="007337C6">
        <w:rPr>
          <w:rFonts w:ascii="Trebuchet MS" w:hAnsi="Trebuchet MS"/>
          <w:b/>
          <w:bCs/>
          <w:i/>
          <w:iCs/>
          <w:sz w:val="20"/>
          <w:szCs w:val="20"/>
          <w:lang w:val="en-US"/>
        </w:rPr>
        <w:t>Contract boundary on some UK schemes –</w:t>
      </w:r>
      <w:r w:rsidRPr="007337C6">
        <w:rPr>
          <w:rFonts w:ascii="Trebuchet MS" w:hAnsi="Trebuchet MS"/>
          <w:sz w:val="20"/>
          <w:szCs w:val="20"/>
          <w:lang w:val="en-US"/>
        </w:rPr>
        <w:t xml:space="preserve"> as noted in the Chief Actuary report, at the time of writing, the contract boundary status of </w:t>
      </w:r>
      <w:r w:rsidRPr="007337C6">
        <w:rPr>
          <w:rFonts w:ascii="Trebuchet MS" w:hAnsi="Trebuchet MS" w:cs="Arial"/>
          <w:sz w:val="20"/>
          <w:szCs w:val="20"/>
        </w:rPr>
        <w:t xml:space="preserve">certain UK schemes within AGIL was under review in respect of their reprice clauses. </w:t>
      </w:r>
      <w:r w:rsidR="00DF5103" w:rsidRPr="00C649FD">
        <w:rPr>
          <w:rFonts w:ascii="Trebuchet MS" w:hAnsi="Trebuchet MS" w:cs="Arial"/>
          <w:sz w:val="20"/>
          <w:szCs w:val="20"/>
        </w:rPr>
        <w:t>We assumed a 1</w:t>
      </w:r>
      <w:r w:rsidR="00DF5103">
        <w:rPr>
          <w:rFonts w:ascii="Trebuchet MS" w:hAnsi="Trebuchet MS" w:cs="Arial"/>
          <w:sz w:val="20"/>
          <w:szCs w:val="20"/>
        </w:rPr>
        <w:t>-</w:t>
      </w:r>
      <w:r w:rsidR="00DF5103" w:rsidRPr="00C649FD">
        <w:rPr>
          <w:rFonts w:ascii="Trebuchet MS" w:hAnsi="Trebuchet MS" w:cs="Arial"/>
          <w:sz w:val="20"/>
          <w:szCs w:val="20"/>
        </w:rPr>
        <w:t>month contract boundary</w:t>
      </w:r>
      <w:r w:rsidR="00DF5103">
        <w:rPr>
          <w:rFonts w:ascii="Trebuchet MS" w:hAnsi="Trebuchet MS" w:cs="Arial"/>
          <w:sz w:val="20"/>
          <w:szCs w:val="20"/>
        </w:rPr>
        <w:t>,</w:t>
      </w:r>
      <w:r w:rsidR="00DF5103" w:rsidRPr="00C649FD">
        <w:rPr>
          <w:rFonts w:ascii="Trebuchet MS" w:hAnsi="Trebuchet MS" w:cs="Arial"/>
          <w:sz w:val="20"/>
          <w:szCs w:val="20"/>
        </w:rPr>
        <w:t xml:space="preserve"> given reprice rights in individual policies. </w:t>
      </w:r>
      <w:r w:rsidR="00DF5103">
        <w:rPr>
          <w:rFonts w:ascii="Trebuchet MS" w:hAnsi="Trebuchet MS" w:cs="Arial"/>
          <w:sz w:val="20"/>
          <w:szCs w:val="20"/>
        </w:rPr>
        <w:t xml:space="preserve"> However, t</w:t>
      </w:r>
      <w:r w:rsidR="00DF5103" w:rsidRPr="00C649FD">
        <w:rPr>
          <w:rFonts w:ascii="Trebuchet MS" w:hAnsi="Trebuchet MS" w:cs="Arial"/>
          <w:sz w:val="20"/>
          <w:szCs w:val="20"/>
        </w:rPr>
        <w:t xml:space="preserve">he review focused on the scheme of distribution </w:t>
      </w:r>
      <w:r w:rsidR="00DF5103">
        <w:rPr>
          <w:rFonts w:ascii="Trebuchet MS" w:hAnsi="Trebuchet MS" w:cs="Arial"/>
          <w:sz w:val="20"/>
          <w:szCs w:val="20"/>
        </w:rPr>
        <w:t xml:space="preserve">which is a 3-year binder with reprice clause </w:t>
      </w:r>
      <w:r w:rsidR="00DF5103" w:rsidRPr="00C649FD">
        <w:rPr>
          <w:rFonts w:ascii="Trebuchet MS" w:hAnsi="Trebuchet MS" w:cs="Arial"/>
          <w:sz w:val="20"/>
          <w:szCs w:val="20"/>
        </w:rPr>
        <w:t>and concluded that a 3</w:t>
      </w:r>
      <w:r w:rsidR="00DF5103">
        <w:rPr>
          <w:rFonts w:ascii="Trebuchet MS" w:hAnsi="Trebuchet MS" w:cs="Arial"/>
          <w:sz w:val="20"/>
          <w:szCs w:val="20"/>
        </w:rPr>
        <w:t>-</w:t>
      </w:r>
      <w:r w:rsidR="00DF5103" w:rsidRPr="00C649FD">
        <w:rPr>
          <w:rFonts w:ascii="Trebuchet MS" w:hAnsi="Trebuchet MS" w:cs="Arial"/>
          <w:sz w:val="20"/>
          <w:szCs w:val="20"/>
        </w:rPr>
        <w:t>year boundary was appropriate.</w:t>
      </w:r>
      <w:r w:rsidR="00DF5103">
        <w:rPr>
          <w:rFonts w:ascii="Trebuchet MS" w:hAnsi="Trebuchet MS" w:cs="Arial"/>
          <w:sz w:val="20"/>
          <w:szCs w:val="20"/>
        </w:rPr>
        <w:t xml:space="preserve"> </w:t>
      </w:r>
      <w:r w:rsidRPr="007337C6">
        <w:rPr>
          <w:rFonts w:ascii="Trebuchet MS" w:hAnsi="Trebuchet MS" w:cs="Arial"/>
          <w:sz w:val="20"/>
          <w:szCs w:val="20"/>
        </w:rPr>
        <w:t xml:space="preserve">Since the Chief Actuary report was issued, this review has completed following AGIL’s year-end audit and has resulted in a reduction in technical provision applied at Q4 2019 of </w:t>
      </w:r>
      <w:r w:rsidR="004D3142" w:rsidRPr="007337C6">
        <w:rPr>
          <w:rFonts w:ascii="Trebuchet MS" w:hAnsi="Trebuchet MS" w:cs="Arial"/>
          <w:sz w:val="20"/>
          <w:szCs w:val="20"/>
        </w:rPr>
        <w:t>approximately £</w:t>
      </w:r>
      <w:r w:rsidR="00660597">
        <w:rPr>
          <w:rFonts w:ascii="Trebuchet MS" w:hAnsi="Trebuchet MS" w:cs="Arial"/>
          <w:sz w:val="20"/>
          <w:szCs w:val="20"/>
        </w:rPr>
        <w:t>7</w:t>
      </w:r>
      <w:r w:rsidR="004D3142" w:rsidRPr="007337C6">
        <w:rPr>
          <w:rFonts w:ascii="Trebuchet MS" w:hAnsi="Trebuchet MS" w:cs="Arial"/>
          <w:sz w:val="20"/>
          <w:szCs w:val="20"/>
        </w:rPr>
        <w:t>m</w:t>
      </w:r>
      <w:r w:rsidRPr="007337C6">
        <w:rPr>
          <w:rFonts w:ascii="Trebuchet MS" w:hAnsi="Trebuchet MS" w:cs="Arial"/>
          <w:sz w:val="20"/>
          <w:szCs w:val="20"/>
        </w:rPr>
        <w:t xml:space="preserve"> offset by an increase in SCR of </w:t>
      </w:r>
      <w:r w:rsidR="004D3142" w:rsidRPr="007337C6">
        <w:rPr>
          <w:rFonts w:ascii="Trebuchet MS" w:hAnsi="Trebuchet MS" w:cs="Arial"/>
          <w:sz w:val="20"/>
          <w:szCs w:val="20"/>
        </w:rPr>
        <w:t xml:space="preserve">approximately £4m </w:t>
      </w:r>
      <w:r w:rsidRPr="007337C6">
        <w:rPr>
          <w:rFonts w:ascii="Trebuchet MS" w:hAnsi="Trebuchet MS" w:cs="Arial"/>
          <w:sz w:val="20"/>
          <w:szCs w:val="20"/>
        </w:rPr>
        <w:t>to allow for a 2 year period until this business expires.</w:t>
      </w:r>
      <w:r w:rsidRPr="007337C6">
        <w:rPr>
          <w:rFonts w:ascii="Trebuchet MS" w:hAnsi="Trebuchet MS"/>
          <w:sz w:val="20"/>
          <w:szCs w:val="20"/>
          <w:lang w:val="en-US"/>
        </w:rPr>
        <w:t xml:space="preserve"> The YE19 financials have been updated accordingly.</w:t>
      </w:r>
    </w:p>
    <w:p w14:paraId="24B8CC4C" w14:textId="77777777" w:rsidR="004471C5" w:rsidRPr="007337C6" w:rsidRDefault="004471C5" w:rsidP="004471C5">
      <w:pPr>
        <w:rPr>
          <w:rFonts w:ascii="Trebuchet MS" w:hAnsi="Trebuchet MS"/>
          <w:sz w:val="20"/>
          <w:szCs w:val="20"/>
          <w:lang w:val="en-US"/>
        </w:rPr>
      </w:pPr>
      <w:r w:rsidRPr="007337C6">
        <w:rPr>
          <w:rFonts w:ascii="Trebuchet MS" w:hAnsi="Trebuchet MS"/>
          <w:sz w:val="20"/>
          <w:szCs w:val="20"/>
          <w:lang w:val="en-US"/>
        </w:rPr>
        <w:t>There have been two key changes in the accounting approach of the Transfer from the initial report to the current supplementary report and some corrections in the accounts.</w:t>
      </w:r>
    </w:p>
    <w:p w14:paraId="608248AA" w14:textId="339DA0EA" w:rsidR="004471C5" w:rsidRPr="007337C6" w:rsidRDefault="004471C5" w:rsidP="004471C5">
      <w:pPr>
        <w:rPr>
          <w:rFonts w:ascii="Trebuchet MS" w:hAnsi="Trebuchet MS"/>
          <w:sz w:val="20"/>
          <w:szCs w:val="20"/>
          <w:lang w:val="en-US"/>
        </w:rPr>
      </w:pPr>
      <w:r w:rsidRPr="007337C6">
        <w:rPr>
          <w:rFonts w:ascii="Trebuchet MS" w:hAnsi="Trebuchet MS"/>
          <w:b/>
          <w:bCs/>
          <w:i/>
          <w:iCs/>
          <w:sz w:val="20"/>
          <w:szCs w:val="20"/>
          <w:lang w:val="en-US"/>
        </w:rPr>
        <w:t>Arm’s length transactions -</w:t>
      </w:r>
      <w:r w:rsidRPr="007337C6">
        <w:rPr>
          <w:rFonts w:ascii="Trebuchet MS" w:hAnsi="Trebuchet MS"/>
          <w:sz w:val="20"/>
          <w:szCs w:val="20"/>
          <w:lang w:val="en-US"/>
        </w:rPr>
        <w:t xml:space="preserve"> One key change in accounting approach is that the transactions (sale of portfolios from AGIL/LGI to AEL) should be at fair value and at arm’s length. Therefore, it should generate a financial gain/loss for the seller/buyer. Thus, there should be a price or premium to be paid by the buying party to the selling party. This was</w:t>
      </w:r>
      <w:r w:rsidR="00F45C61">
        <w:rPr>
          <w:rFonts w:ascii="Trebuchet MS" w:hAnsi="Trebuchet MS"/>
          <w:sz w:val="20"/>
          <w:szCs w:val="20"/>
          <w:lang w:val="en-US"/>
        </w:rPr>
        <w:t xml:space="preserve"> no</w:t>
      </w:r>
      <w:r w:rsidRPr="007337C6">
        <w:rPr>
          <w:rFonts w:ascii="Trebuchet MS" w:hAnsi="Trebuchet MS"/>
          <w:sz w:val="20"/>
          <w:szCs w:val="20"/>
          <w:lang w:val="en-US"/>
        </w:rPr>
        <w:t xml:space="preserve">t explicitly considered in the initial report. </w:t>
      </w:r>
    </w:p>
    <w:p w14:paraId="012A7F6C" w14:textId="432E3674" w:rsidR="004471C5" w:rsidRPr="007337C6" w:rsidRDefault="004471C5" w:rsidP="004471C5">
      <w:pPr>
        <w:rPr>
          <w:rFonts w:ascii="Trebuchet MS" w:hAnsi="Trebuchet MS"/>
          <w:sz w:val="20"/>
          <w:szCs w:val="20"/>
          <w:lang w:val="en-US"/>
        </w:rPr>
      </w:pPr>
      <w:r w:rsidRPr="007337C6">
        <w:rPr>
          <w:rFonts w:ascii="Trebuchet MS" w:hAnsi="Trebuchet MS"/>
          <w:b/>
          <w:bCs/>
          <w:i/>
          <w:iCs/>
          <w:sz w:val="20"/>
          <w:szCs w:val="20"/>
          <w:lang w:val="en-US"/>
        </w:rPr>
        <w:lastRenderedPageBreak/>
        <w:t>Transferring portfolio (assets and liabilities) neutral on Solvency II basis -</w:t>
      </w:r>
      <w:r w:rsidRPr="007337C6">
        <w:rPr>
          <w:rFonts w:ascii="Trebuchet MS" w:hAnsi="Trebuchet MS"/>
          <w:sz w:val="20"/>
          <w:szCs w:val="20"/>
          <w:lang w:val="en-US"/>
        </w:rPr>
        <w:t xml:space="preserve"> The other </w:t>
      </w:r>
      <w:r w:rsidR="003E4875" w:rsidRPr="007337C6">
        <w:rPr>
          <w:rFonts w:ascii="Trebuchet MS" w:hAnsi="Trebuchet MS"/>
          <w:sz w:val="20"/>
          <w:szCs w:val="20"/>
          <w:lang w:val="en-US"/>
        </w:rPr>
        <w:t xml:space="preserve">accounting </w:t>
      </w:r>
      <w:r w:rsidRPr="007337C6">
        <w:rPr>
          <w:rFonts w:ascii="Trebuchet MS" w:hAnsi="Trebuchet MS"/>
          <w:sz w:val="20"/>
          <w:szCs w:val="20"/>
          <w:lang w:val="en-US"/>
        </w:rPr>
        <w:t xml:space="preserve">change is that in the initial report it was assumed that the transferring portfolio of liabilities and assets would be profit/loss neutral on </w:t>
      </w:r>
      <w:proofErr w:type="gramStart"/>
      <w:r w:rsidRPr="007337C6">
        <w:rPr>
          <w:rFonts w:ascii="Trebuchet MS" w:hAnsi="Trebuchet MS"/>
          <w:sz w:val="20"/>
          <w:szCs w:val="20"/>
          <w:lang w:val="en-US"/>
        </w:rPr>
        <w:t>an</w:t>
      </w:r>
      <w:proofErr w:type="gramEnd"/>
      <w:r w:rsidRPr="007337C6">
        <w:rPr>
          <w:rFonts w:ascii="Trebuchet MS" w:hAnsi="Trebuchet MS"/>
          <w:sz w:val="20"/>
          <w:szCs w:val="20"/>
          <w:lang w:val="en-US"/>
        </w:rPr>
        <w:t xml:space="preserve"> GAAP accounting basis. This would mean that the assets and liabilities being transferred are equal, while some profit/loss is generated on Solvency II basis as Solvency II assets/liabilities valuation are different to the GAAP assets/liabilities valuation. This was because at the time of writing, the terms of the transfer were under negotiation between the Boards of </w:t>
      </w:r>
      <w:proofErr w:type="spellStart"/>
      <w:r w:rsidRPr="007337C6">
        <w:rPr>
          <w:rFonts w:ascii="Trebuchet MS" w:hAnsi="Trebuchet MS"/>
          <w:sz w:val="20"/>
          <w:szCs w:val="20"/>
          <w:lang w:val="en-US"/>
        </w:rPr>
        <w:t>AGL</w:t>
      </w:r>
      <w:proofErr w:type="spellEnd"/>
      <w:r w:rsidRPr="007337C6">
        <w:rPr>
          <w:rFonts w:ascii="Trebuchet MS" w:hAnsi="Trebuchet MS"/>
          <w:sz w:val="20"/>
          <w:szCs w:val="20"/>
          <w:lang w:val="en-US"/>
        </w:rPr>
        <w:t>/</w:t>
      </w:r>
      <w:proofErr w:type="spellStart"/>
      <w:r w:rsidRPr="007337C6">
        <w:rPr>
          <w:rFonts w:ascii="Trebuchet MS" w:hAnsi="Trebuchet MS"/>
          <w:sz w:val="20"/>
          <w:szCs w:val="20"/>
          <w:lang w:val="en-US"/>
        </w:rPr>
        <w:t>TWGE</w:t>
      </w:r>
      <w:proofErr w:type="spellEnd"/>
      <w:r w:rsidRPr="007337C6">
        <w:rPr>
          <w:rFonts w:ascii="Trebuchet MS" w:hAnsi="Trebuchet MS"/>
          <w:sz w:val="20"/>
          <w:szCs w:val="20"/>
          <w:lang w:val="en-US"/>
        </w:rPr>
        <w:t xml:space="preserve"> and AEI/AEL.  In this supplementary report we have adopted an alternative approach whereby the transfer is neutral on Solvency II basis and non-neutral on GAAP basis. This is to better align with the GAAP fair value at arm’s length approach.</w:t>
      </w:r>
    </w:p>
    <w:p w14:paraId="566707A8" w14:textId="5EEBD495" w:rsidR="004471C5" w:rsidRPr="007337C6" w:rsidRDefault="004471C5" w:rsidP="004471C5">
      <w:pPr>
        <w:rPr>
          <w:rFonts w:ascii="Trebuchet MS" w:hAnsi="Trebuchet MS"/>
          <w:sz w:val="20"/>
          <w:szCs w:val="20"/>
          <w:lang w:val="en-US"/>
        </w:rPr>
      </w:pPr>
      <w:r w:rsidRPr="007337C6">
        <w:rPr>
          <w:rFonts w:ascii="Trebuchet MS" w:hAnsi="Trebuchet MS"/>
          <w:b/>
          <w:bCs/>
          <w:i/>
          <w:iCs/>
          <w:sz w:val="20"/>
          <w:szCs w:val="20"/>
          <w:lang w:val="en-US"/>
        </w:rPr>
        <w:t>Accounting items –</w:t>
      </w:r>
      <w:r w:rsidRPr="007337C6">
        <w:rPr>
          <w:rFonts w:ascii="Trebuchet MS" w:hAnsi="Trebuchet MS"/>
          <w:sz w:val="20"/>
          <w:szCs w:val="20"/>
          <w:lang w:val="en-US"/>
        </w:rPr>
        <w:t xml:space="preserve"> A number of GAAP items have been amended to reflect </w:t>
      </w:r>
      <w:proofErr w:type="spellStart"/>
      <w:r w:rsidRPr="007337C6">
        <w:rPr>
          <w:rFonts w:ascii="Trebuchet MS" w:hAnsi="Trebuchet MS"/>
          <w:sz w:val="20"/>
          <w:szCs w:val="20"/>
          <w:lang w:val="en-US"/>
        </w:rPr>
        <w:t>AGL’s</w:t>
      </w:r>
      <w:proofErr w:type="spellEnd"/>
      <w:r w:rsidRPr="007337C6">
        <w:rPr>
          <w:rFonts w:ascii="Trebuchet MS" w:hAnsi="Trebuchet MS"/>
          <w:sz w:val="20"/>
          <w:szCs w:val="20"/>
          <w:lang w:val="en-US"/>
        </w:rPr>
        <w:t xml:space="preserve"> published Solvency and Financial Condition Report (SFCR), and the finalization of the audit of the </w:t>
      </w:r>
      <w:proofErr w:type="spellStart"/>
      <w:r w:rsidRPr="007337C6">
        <w:rPr>
          <w:rFonts w:ascii="Trebuchet MS" w:hAnsi="Trebuchet MS"/>
          <w:sz w:val="20"/>
          <w:szCs w:val="20"/>
          <w:lang w:val="en-US"/>
        </w:rPr>
        <w:t>AGL</w:t>
      </w:r>
      <w:proofErr w:type="spellEnd"/>
      <w:r w:rsidRPr="007337C6">
        <w:rPr>
          <w:rFonts w:ascii="Trebuchet MS" w:hAnsi="Trebuchet MS"/>
          <w:sz w:val="20"/>
          <w:szCs w:val="20"/>
          <w:lang w:val="en-US"/>
        </w:rPr>
        <w:t xml:space="preserve"> SFCR which occurred after the completion of the Chief Actuary initial report on the transfer.  </w:t>
      </w:r>
    </w:p>
    <w:p w14:paraId="71858FB0" w14:textId="77777777" w:rsidR="009D61D1" w:rsidRPr="007337C6" w:rsidRDefault="009D61D1" w:rsidP="00EC7973">
      <w:pPr>
        <w:rPr>
          <w:rFonts w:ascii="Trebuchet MS" w:hAnsi="Trebuchet MS" w:cs="Arial"/>
          <w:sz w:val="20"/>
          <w:szCs w:val="20"/>
        </w:rPr>
      </w:pPr>
    </w:p>
    <w:p w14:paraId="246491C5" w14:textId="487D56EB" w:rsidR="00942F66" w:rsidRPr="007337C6" w:rsidRDefault="004674E5" w:rsidP="00FA0241">
      <w:pPr>
        <w:pStyle w:val="Heading1"/>
        <w:numPr>
          <w:ilvl w:val="1"/>
          <w:numId w:val="1"/>
        </w:numPr>
        <w:rPr>
          <w:color w:val="0070C0"/>
        </w:rPr>
      </w:pPr>
      <w:bookmarkStart w:id="66" w:name="_Toc48907941"/>
      <w:bookmarkStart w:id="67" w:name="_Toc52451876"/>
      <w:r w:rsidRPr="007337C6">
        <w:rPr>
          <w:color w:val="0070C0"/>
        </w:rPr>
        <w:t>Updated f</w:t>
      </w:r>
      <w:r w:rsidR="006870CF" w:rsidRPr="007337C6">
        <w:rPr>
          <w:color w:val="0070C0"/>
        </w:rPr>
        <w:t>inancials</w:t>
      </w:r>
      <w:bookmarkEnd w:id="66"/>
      <w:bookmarkEnd w:id="67"/>
    </w:p>
    <w:p w14:paraId="438F571B" w14:textId="72E08524" w:rsidR="002B3004" w:rsidRPr="007337C6" w:rsidRDefault="003105E3" w:rsidP="00E753FE">
      <w:pPr>
        <w:rPr>
          <w:rFonts w:ascii="Trebuchet MS" w:hAnsi="Trebuchet MS" w:cs="Arial"/>
          <w:sz w:val="20"/>
          <w:szCs w:val="20"/>
        </w:rPr>
      </w:pPr>
      <w:r w:rsidRPr="007337C6">
        <w:rPr>
          <w:rFonts w:ascii="Trebuchet MS" w:hAnsi="Trebuchet MS" w:cs="Arial"/>
          <w:sz w:val="20"/>
          <w:szCs w:val="20"/>
        </w:rPr>
        <w:t xml:space="preserve">In this section, the forecasted financial impact of the </w:t>
      </w:r>
      <w:r w:rsidR="00E311D5" w:rsidRPr="007337C6">
        <w:rPr>
          <w:rFonts w:ascii="Trebuchet MS" w:hAnsi="Trebuchet MS" w:cs="Arial"/>
          <w:sz w:val="20"/>
          <w:szCs w:val="20"/>
        </w:rPr>
        <w:t>Scheme</w:t>
      </w:r>
      <w:r w:rsidRPr="007337C6">
        <w:rPr>
          <w:rFonts w:ascii="Trebuchet MS" w:hAnsi="Trebuchet MS" w:cs="Arial"/>
          <w:sz w:val="20"/>
          <w:szCs w:val="20"/>
        </w:rPr>
        <w:t xml:space="preserve"> is presented in terms of balance sheet on </w:t>
      </w:r>
      <w:r w:rsidR="00CE63C0" w:rsidRPr="007337C6">
        <w:rPr>
          <w:rFonts w:ascii="Trebuchet MS" w:hAnsi="Trebuchet MS" w:cs="Arial"/>
          <w:sz w:val="20"/>
          <w:szCs w:val="20"/>
        </w:rPr>
        <w:t>GAAP</w:t>
      </w:r>
      <w:r w:rsidRPr="007337C6">
        <w:rPr>
          <w:rFonts w:ascii="Trebuchet MS" w:hAnsi="Trebuchet MS" w:cs="Arial"/>
          <w:sz w:val="20"/>
          <w:szCs w:val="20"/>
        </w:rPr>
        <w:t xml:space="preserve"> and Solvency II basis </w:t>
      </w:r>
      <w:r w:rsidR="00CE63C0" w:rsidRPr="007337C6">
        <w:rPr>
          <w:rFonts w:ascii="Trebuchet MS" w:hAnsi="Trebuchet MS" w:cs="Arial"/>
          <w:sz w:val="20"/>
          <w:szCs w:val="20"/>
        </w:rPr>
        <w:t>pre</w:t>
      </w:r>
      <w:r w:rsidR="003103FC" w:rsidRPr="007337C6">
        <w:rPr>
          <w:rFonts w:ascii="Trebuchet MS" w:hAnsi="Trebuchet MS" w:cs="Arial"/>
          <w:sz w:val="20"/>
          <w:szCs w:val="20"/>
        </w:rPr>
        <w:t>-</w:t>
      </w:r>
      <w:r w:rsidR="00CE63C0" w:rsidRPr="007337C6">
        <w:rPr>
          <w:rFonts w:ascii="Trebuchet MS" w:hAnsi="Trebuchet MS" w:cs="Arial"/>
          <w:sz w:val="20"/>
          <w:szCs w:val="20"/>
        </w:rPr>
        <w:t xml:space="preserve"> and </w:t>
      </w:r>
      <w:r w:rsidR="007B0679" w:rsidRPr="007337C6">
        <w:rPr>
          <w:rFonts w:ascii="Trebuchet MS" w:hAnsi="Trebuchet MS" w:cs="Arial"/>
          <w:sz w:val="20"/>
          <w:szCs w:val="20"/>
        </w:rPr>
        <w:t>post-Transfer</w:t>
      </w:r>
      <w:r w:rsidR="00CE63C0" w:rsidRPr="007337C6">
        <w:rPr>
          <w:rFonts w:ascii="Trebuchet MS" w:hAnsi="Trebuchet MS" w:cs="Arial"/>
          <w:sz w:val="20"/>
          <w:szCs w:val="20"/>
        </w:rPr>
        <w:t xml:space="preserve">, </w:t>
      </w:r>
      <w:r w:rsidRPr="007337C6">
        <w:rPr>
          <w:rFonts w:ascii="Trebuchet MS" w:hAnsi="Trebuchet MS" w:cs="Arial"/>
          <w:sz w:val="20"/>
          <w:szCs w:val="20"/>
        </w:rPr>
        <w:t xml:space="preserve">and </w:t>
      </w:r>
      <w:r w:rsidR="00CE63C0" w:rsidRPr="007337C6">
        <w:rPr>
          <w:rFonts w:ascii="Trebuchet MS" w:hAnsi="Trebuchet MS" w:cs="Arial"/>
          <w:sz w:val="20"/>
          <w:szCs w:val="20"/>
        </w:rPr>
        <w:t xml:space="preserve">also in terms of </w:t>
      </w:r>
      <w:r w:rsidRPr="007337C6">
        <w:rPr>
          <w:rFonts w:ascii="Trebuchet MS" w:hAnsi="Trebuchet MS" w:cs="Arial"/>
          <w:sz w:val="20"/>
          <w:szCs w:val="20"/>
        </w:rPr>
        <w:t>Solvency II capital requirements pre</w:t>
      </w:r>
      <w:r w:rsidR="003103FC" w:rsidRPr="007337C6">
        <w:rPr>
          <w:rFonts w:ascii="Trebuchet MS" w:hAnsi="Trebuchet MS" w:cs="Arial"/>
          <w:sz w:val="20"/>
          <w:szCs w:val="20"/>
        </w:rPr>
        <w:t>-</w:t>
      </w:r>
      <w:r w:rsidRPr="007337C6">
        <w:rPr>
          <w:rFonts w:ascii="Trebuchet MS" w:hAnsi="Trebuchet MS" w:cs="Arial"/>
          <w:sz w:val="20"/>
          <w:szCs w:val="20"/>
        </w:rPr>
        <w:t xml:space="preserve"> and </w:t>
      </w:r>
      <w:r w:rsidR="007B0679" w:rsidRPr="007337C6">
        <w:rPr>
          <w:rFonts w:ascii="Trebuchet MS" w:hAnsi="Trebuchet MS" w:cs="Arial"/>
          <w:sz w:val="20"/>
          <w:szCs w:val="20"/>
        </w:rPr>
        <w:t>post-Transfer</w:t>
      </w:r>
      <w:r w:rsidRPr="007337C6">
        <w:rPr>
          <w:rFonts w:ascii="Trebuchet MS" w:hAnsi="Trebuchet MS" w:cs="Arial"/>
          <w:sz w:val="20"/>
          <w:szCs w:val="20"/>
        </w:rPr>
        <w:t>.</w:t>
      </w:r>
      <w:r w:rsidR="002B3004" w:rsidRPr="007337C6">
        <w:rPr>
          <w:rFonts w:ascii="Trebuchet MS" w:hAnsi="Trebuchet MS" w:cs="Arial"/>
          <w:sz w:val="20"/>
          <w:szCs w:val="20"/>
        </w:rPr>
        <w:t xml:space="preserve"> Note that the financial assessment has been performed on t</w:t>
      </w:r>
      <w:r w:rsidR="00157671" w:rsidRPr="007337C6">
        <w:rPr>
          <w:rFonts w:ascii="Trebuchet MS" w:hAnsi="Trebuchet MS" w:cs="Arial"/>
          <w:sz w:val="20"/>
          <w:szCs w:val="20"/>
        </w:rPr>
        <w:t>he following basis</w:t>
      </w:r>
      <w:r w:rsidR="002B3004" w:rsidRPr="007337C6">
        <w:rPr>
          <w:rFonts w:ascii="Trebuchet MS" w:hAnsi="Trebuchet MS" w:cs="Arial"/>
          <w:sz w:val="20"/>
          <w:szCs w:val="20"/>
        </w:rPr>
        <w:t xml:space="preserve">: </w:t>
      </w:r>
    </w:p>
    <w:p w14:paraId="6A2B1178" w14:textId="664C2E23" w:rsidR="002B3004" w:rsidRPr="007337C6" w:rsidRDefault="002B3004" w:rsidP="000B4693">
      <w:pPr>
        <w:pStyle w:val="ListParagraph"/>
        <w:numPr>
          <w:ilvl w:val="0"/>
          <w:numId w:val="33"/>
        </w:numPr>
        <w:rPr>
          <w:rFonts w:ascii="Trebuchet MS" w:hAnsi="Trebuchet MS" w:cs="Arial"/>
          <w:sz w:val="20"/>
          <w:szCs w:val="20"/>
        </w:rPr>
      </w:pPr>
      <w:r w:rsidRPr="007337C6">
        <w:rPr>
          <w:rFonts w:ascii="Trebuchet MS" w:hAnsi="Trebuchet MS" w:cs="Arial"/>
          <w:b/>
          <w:bCs/>
          <w:sz w:val="20"/>
          <w:szCs w:val="20"/>
        </w:rPr>
        <w:t>Year End 2019</w:t>
      </w:r>
      <w:r w:rsidR="0083430F" w:rsidRPr="007337C6">
        <w:rPr>
          <w:rFonts w:ascii="Trebuchet MS" w:hAnsi="Trebuchet MS" w:cs="Arial"/>
          <w:b/>
          <w:bCs/>
          <w:sz w:val="20"/>
          <w:szCs w:val="20"/>
        </w:rPr>
        <w:t xml:space="preserve"> basis</w:t>
      </w:r>
      <w:r w:rsidRPr="007337C6">
        <w:rPr>
          <w:rFonts w:ascii="Trebuchet MS" w:hAnsi="Trebuchet MS" w:cs="Arial"/>
          <w:sz w:val="20"/>
          <w:szCs w:val="20"/>
        </w:rPr>
        <w:t xml:space="preserve"> – this is a “as-if” analysis to present the financials </w:t>
      </w:r>
      <w:r w:rsidR="00157671" w:rsidRPr="007337C6">
        <w:rPr>
          <w:rFonts w:ascii="Trebuchet MS" w:hAnsi="Trebuchet MS" w:cs="Arial"/>
          <w:sz w:val="20"/>
          <w:szCs w:val="20"/>
        </w:rPr>
        <w:t xml:space="preserve">as </w:t>
      </w:r>
      <w:r w:rsidRPr="007337C6">
        <w:rPr>
          <w:rFonts w:ascii="Trebuchet MS" w:hAnsi="Trebuchet MS" w:cs="Arial"/>
          <w:sz w:val="20"/>
          <w:szCs w:val="20"/>
        </w:rPr>
        <w:t xml:space="preserve">if </w:t>
      </w:r>
      <w:r w:rsidR="00C407B1" w:rsidRPr="007337C6">
        <w:rPr>
          <w:rFonts w:ascii="Trebuchet MS" w:hAnsi="Trebuchet MS" w:cs="Arial"/>
          <w:sz w:val="20"/>
          <w:szCs w:val="20"/>
        </w:rPr>
        <w:t>the Transfer</w:t>
      </w:r>
      <w:r w:rsidRPr="007337C6">
        <w:rPr>
          <w:rFonts w:ascii="Trebuchet MS" w:hAnsi="Trebuchet MS" w:cs="Arial"/>
          <w:sz w:val="20"/>
          <w:szCs w:val="20"/>
        </w:rPr>
        <w:t xml:space="preserve"> was taking place as at year end 2019</w:t>
      </w:r>
      <w:r w:rsidR="00157671" w:rsidRPr="007337C6">
        <w:rPr>
          <w:rFonts w:ascii="Trebuchet MS" w:hAnsi="Trebuchet MS" w:cs="Arial"/>
          <w:sz w:val="20"/>
          <w:szCs w:val="20"/>
        </w:rPr>
        <w:t>, using the numbers booked and audited as at year end 2019.</w:t>
      </w:r>
      <w:r w:rsidR="003103FC" w:rsidRPr="007337C6">
        <w:rPr>
          <w:rFonts w:ascii="Trebuchet MS" w:hAnsi="Trebuchet MS" w:cs="Arial"/>
          <w:sz w:val="20"/>
          <w:szCs w:val="20"/>
        </w:rPr>
        <w:t xml:space="preserve"> However, the </w:t>
      </w:r>
      <w:proofErr w:type="spellStart"/>
      <w:r w:rsidR="003103FC" w:rsidRPr="007337C6">
        <w:rPr>
          <w:rFonts w:ascii="Trebuchet MS" w:hAnsi="Trebuchet MS" w:cs="Arial"/>
          <w:sz w:val="20"/>
          <w:szCs w:val="20"/>
        </w:rPr>
        <w:t>TPs</w:t>
      </w:r>
      <w:proofErr w:type="spellEnd"/>
      <w:r w:rsidR="003103FC" w:rsidRPr="007337C6">
        <w:rPr>
          <w:rFonts w:ascii="Trebuchet MS" w:hAnsi="Trebuchet MS" w:cs="Arial"/>
          <w:sz w:val="20"/>
          <w:szCs w:val="20"/>
        </w:rPr>
        <w:t xml:space="preserve"> in this supplementary report have been calculated using a longer contract boundary assumption for one major UK scheme as discussed in section 4.1 above. The </w:t>
      </w:r>
      <w:proofErr w:type="spellStart"/>
      <w:r w:rsidR="003103FC" w:rsidRPr="007337C6">
        <w:rPr>
          <w:rFonts w:ascii="Trebuchet MS" w:hAnsi="Trebuchet MS" w:cs="Arial"/>
          <w:sz w:val="20"/>
          <w:szCs w:val="20"/>
        </w:rPr>
        <w:t>TPs</w:t>
      </w:r>
      <w:proofErr w:type="spellEnd"/>
      <w:r w:rsidR="003103FC" w:rsidRPr="007337C6">
        <w:rPr>
          <w:rFonts w:ascii="Trebuchet MS" w:hAnsi="Trebuchet MS" w:cs="Arial"/>
          <w:sz w:val="20"/>
          <w:szCs w:val="20"/>
        </w:rPr>
        <w:t xml:space="preserve"> at various point in time in this supplementary report are all calculated/forecasted on the same contract boundary basis, using the longer contract boundary </w:t>
      </w:r>
      <w:r w:rsidR="00FD34E6">
        <w:rPr>
          <w:rFonts w:ascii="Trebuchet MS" w:hAnsi="Trebuchet MS" w:cs="Arial"/>
          <w:sz w:val="20"/>
          <w:szCs w:val="20"/>
        </w:rPr>
        <w:t xml:space="preserve">(following a review of the repricing clauses for the distribution scheme) </w:t>
      </w:r>
      <w:r w:rsidR="003103FC" w:rsidRPr="007337C6">
        <w:rPr>
          <w:rFonts w:ascii="Trebuchet MS" w:hAnsi="Trebuchet MS" w:cs="Arial"/>
          <w:sz w:val="20"/>
          <w:szCs w:val="20"/>
        </w:rPr>
        <w:t>for the specific UK scheme in question.</w:t>
      </w:r>
    </w:p>
    <w:p w14:paraId="4D5C4A18" w14:textId="5F4DABD4" w:rsidR="002B3004" w:rsidRPr="007337C6" w:rsidRDefault="00157671" w:rsidP="000B4693">
      <w:pPr>
        <w:pStyle w:val="ListParagraph"/>
        <w:numPr>
          <w:ilvl w:val="0"/>
          <w:numId w:val="33"/>
        </w:numPr>
        <w:rPr>
          <w:rFonts w:ascii="Trebuchet MS" w:hAnsi="Trebuchet MS" w:cs="Arial"/>
          <w:sz w:val="20"/>
          <w:szCs w:val="20"/>
        </w:rPr>
      </w:pPr>
      <w:r w:rsidRPr="007337C6">
        <w:rPr>
          <w:rFonts w:ascii="Trebuchet MS" w:hAnsi="Trebuchet MS" w:cs="Arial"/>
          <w:b/>
          <w:bCs/>
          <w:sz w:val="20"/>
          <w:szCs w:val="20"/>
        </w:rPr>
        <w:t xml:space="preserve">Year End 2019 basis with impact of </w:t>
      </w:r>
      <w:r w:rsidR="005E55C1">
        <w:rPr>
          <w:rFonts w:ascii="Trebuchet MS" w:hAnsi="Trebuchet MS" w:cs="Arial"/>
          <w:b/>
          <w:bCs/>
          <w:sz w:val="20"/>
          <w:szCs w:val="20"/>
        </w:rPr>
        <w:t>COVID-19</w:t>
      </w:r>
      <w:r w:rsidRPr="007337C6">
        <w:rPr>
          <w:rFonts w:ascii="Trebuchet MS" w:hAnsi="Trebuchet MS" w:cs="Arial"/>
          <w:b/>
          <w:bCs/>
          <w:sz w:val="20"/>
          <w:szCs w:val="20"/>
        </w:rPr>
        <w:t xml:space="preserve"> </w:t>
      </w:r>
      <w:r w:rsidR="002B3004" w:rsidRPr="007337C6">
        <w:rPr>
          <w:rFonts w:ascii="Trebuchet MS" w:hAnsi="Trebuchet MS" w:cs="Arial"/>
          <w:sz w:val="20"/>
          <w:szCs w:val="20"/>
        </w:rPr>
        <w:t>–</w:t>
      </w:r>
      <w:r w:rsidR="00F45C61">
        <w:rPr>
          <w:rFonts w:ascii="Trebuchet MS" w:hAnsi="Trebuchet MS" w:cs="Arial"/>
          <w:sz w:val="20"/>
          <w:szCs w:val="20"/>
        </w:rPr>
        <w:t xml:space="preserve"> </w:t>
      </w:r>
      <w:r w:rsidR="000B4693" w:rsidRPr="007337C6">
        <w:rPr>
          <w:rFonts w:ascii="Trebuchet MS" w:hAnsi="Trebuchet MS" w:cs="Arial"/>
          <w:sz w:val="20"/>
          <w:szCs w:val="20"/>
        </w:rPr>
        <w:t xml:space="preserve">This assessment </w:t>
      </w:r>
      <w:r w:rsidRPr="007337C6">
        <w:rPr>
          <w:rFonts w:ascii="Trebuchet MS" w:hAnsi="Trebuchet MS" w:cs="Arial"/>
          <w:sz w:val="20"/>
          <w:szCs w:val="20"/>
        </w:rPr>
        <w:t xml:space="preserve">is as if </w:t>
      </w:r>
      <w:r w:rsidR="00C407B1" w:rsidRPr="007337C6">
        <w:rPr>
          <w:rFonts w:ascii="Trebuchet MS" w:hAnsi="Trebuchet MS" w:cs="Arial"/>
          <w:sz w:val="20"/>
          <w:szCs w:val="20"/>
        </w:rPr>
        <w:t>the Transfer</w:t>
      </w:r>
      <w:r w:rsidRPr="007337C6">
        <w:rPr>
          <w:rFonts w:ascii="Trebuchet MS" w:hAnsi="Trebuchet MS" w:cs="Arial"/>
          <w:sz w:val="20"/>
          <w:szCs w:val="20"/>
        </w:rPr>
        <w:t xml:space="preserve"> was taking place as at year end 2019 and </w:t>
      </w:r>
      <w:r w:rsidR="000B4693" w:rsidRPr="007337C6">
        <w:rPr>
          <w:rFonts w:ascii="Trebuchet MS" w:hAnsi="Trebuchet MS" w:cs="Arial"/>
          <w:sz w:val="20"/>
          <w:szCs w:val="20"/>
        </w:rPr>
        <w:t xml:space="preserve">allows for assumptions about the impact of </w:t>
      </w:r>
      <w:r w:rsidR="005E55C1">
        <w:rPr>
          <w:rFonts w:ascii="Trebuchet MS" w:hAnsi="Trebuchet MS" w:cs="Arial"/>
          <w:sz w:val="20"/>
          <w:szCs w:val="20"/>
        </w:rPr>
        <w:t>COVID-19</w:t>
      </w:r>
      <w:r w:rsidR="000B4693" w:rsidRPr="007337C6">
        <w:rPr>
          <w:rFonts w:ascii="Trebuchet MS" w:hAnsi="Trebuchet MS" w:cs="Arial"/>
          <w:sz w:val="20"/>
          <w:szCs w:val="20"/>
        </w:rPr>
        <w:t>.</w:t>
      </w:r>
    </w:p>
    <w:p w14:paraId="5AEC3737" w14:textId="5CB7ADB5" w:rsidR="00E65BB1" w:rsidRPr="007337C6" w:rsidRDefault="00E65BB1" w:rsidP="00E65BB1">
      <w:pPr>
        <w:pStyle w:val="ListParagraph"/>
        <w:numPr>
          <w:ilvl w:val="0"/>
          <w:numId w:val="33"/>
        </w:numPr>
        <w:rPr>
          <w:rFonts w:ascii="Trebuchet MS" w:hAnsi="Trebuchet MS" w:cs="Arial"/>
          <w:sz w:val="20"/>
          <w:szCs w:val="20"/>
        </w:rPr>
      </w:pPr>
      <w:r w:rsidRPr="007337C6">
        <w:rPr>
          <w:rFonts w:ascii="Trebuchet MS" w:hAnsi="Trebuchet MS" w:cs="Arial"/>
          <w:b/>
          <w:bCs/>
          <w:sz w:val="20"/>
          <w:szCs w:val="20"/>
        </w:rPr>
        <w:t xml:space="preserve">2Q20 basis with impact of </w:t>
      </w:r>
      <w:r w:rsidR="005E55C1">
        <w:rPr>
          <w:rFonts w:ascii="Trebuchet MS" w:hAnsi="Trebuchet MS" w:cs="Arial"/>
          <w:b/>
          <w:bCs/>
          <w:sz w:val="20"/>
          <w:szCs w:val="20"/>
        </w:rPr>
        <w:t>COVID-19</w:t>
      </w:r>
      <w:r w:rsidRPr="007337C6">
        <w:rPr>
          <w:rFonts w:ascii="Trebuchet MS" w:hAnsi="Trebuchet MS" w:cs="Arial"/>
          <w:b/>
          <w:bCs/>
          <w:sz w:val="20"/>
          <w:szCs w:val="20"/>
        </w:rPr>
        <w:t xml:space="preserve"> </w:t>
      </w:r>
      <w:r w:rsidRPr="007337C6">
        <w:rPr>
          <w:rFonts w:ascii="Trebuchet MS" w:hAnsi="Trebuchet MS" w:cs="Arial"/>
          <w:sz w:val="20"/>
          <w:szCs w:val="20"/>
        </w:rPr>
        <w:t>–</w:t>
      </w:r>
      <w:r w:rsidR="00F45C61">
        <w:rPr>
          <w:rFonts w:ascii="Trebuchet MS" w:hAnsi="Trebuchet MS" w:cs="Arial"/>
          <w:sz w:val="20"/>
          <w:szCs w:val="20"/>
        </w:rPr>
        <w:t xml:space="preserve"> </w:t>
      </w:r>
      <w:r w:rsidRPr="007337C6">
        <w:rPr>
          <w:rFonts w:ascii="Trebuchet MS" w:hAnsi="Trebuchet MS" w:cs="Arial"/>
          <w:sz w:val="20"/>
          <w:szCs w:val="20"/>
        </w:rPr>
        <w:t xml:space="preserve">This assessment is as if the Transfer was taking place as at 30 June 2020; therefore, includes the impact of </w:t>
      </w:r>
      <w:r w:rsidR="005E55C1">
        <w:rPr>
          <w:rFonts w:ascii="Trebuchet MS" w:hAnsi="Trebuchet MS" w:cs="Arial"/>
          <w:sz w:val="20"/>
          <w:szCs w:val="20"/>
        </w:rPr>
        <w:t>COVID-19</w:t>
      </w:r>
      <w:r w:rsidRPr="007337C6">
        <w:rPr>
          <w:rFonts w:ascii="Trebuchet MS" w:hAnsi="Trebuchet MS" w:cs="Arial"/>
          <w:sz w:val="20"/>
          <w:szCs w:val="20"/>
        </w:rPr>
        <w:t>.</w:t>
      </w:r>
    </w:p>
    <w:p w14:paraId="75C47FDE" w14:textId="6537F8BA" w:rsidR="00E65BB1" w:rsidRPr="007337C6" w:rsidRDefault="00E65BB1" w:rsidP="00E65BB1">
      <w:pPr>
        <w:pStyle w:val="ListParagraph"/>
        <w:numPr>
          <w:ilvl w:val="0"/>
          <w:numId w:val="33"/>
        </w:numPr>
        <w:rPr>
          <w:rFonts w:ascii="Trebuchet MS" w:hAnsi="Trebuchet MS" w:cs="Arial"/>
          <w:sz w:val="20"/>
          <w:szCs w:val="20"/>
        </w:rPr>
      </w:pPr>
      <w:r w:rsidRPr="007337C6">
        <w:rPr>
          <w:rFonts w:ascii="Trebuchet MS" w:hAnsi="Trebuchet MS" w:cs="Arial"/>
          <w:b/>
          <w:bCs/>
          <w:sz w:val="20"/>
          <w:szCs w:val="20"/>
        </w:rPr>
        <w:t xml:space="preserve">3Q20 basis with impact of </w:t>
      </w:r>
      <w:r w:rsidR="005E55C1">
        <w:rPr>
          <w:rFonts w:ascii="Trebuchet MS" w:hAnsi="Trebuchet MS" w:cs="Arial"/>
          <w:b/>
          <w:bCs/>
          <w:sz w:val="20"/>
          <w:szCs w:val="20"/>
        </w:rPr>
        <w:t>COVID-19</w:t>
      </w:r>
      <w:r w:rsidRPr="007337C6">
        <w:rPr>
          <w:rFonts w:ascii="Trebuchet MS" w:hAnsi="Trebuchet MS" w:cs="Arial"/>
          <w:b/>
          <w:bCs/>
          <w:sz w:val="20"/>
          <w:szCs w:val="20"/>
        </w:rPr>
        <w:t xml:space="preserve"> </w:t>
      </w:r>
      <w:r w:rsidRPr="007337C6">
        <w:rPr>
          <w:rFonts w:ascii="Trebuchet MS" w:hAnsi="Trebuchet MS" w:cs="Arial"/>
          <w:sz w:val="20"/>
          <w:szCs w:val="20"/>
        </w:rPr>
        <w:t>–</w:t>
      </w:r>
      <w:r w:rsidR="00F45C61">
        <w:rPr>
          <w:rFonts w:ascii="Trebuchet MS" w:hAnsi="Trebuchet MS" w:cs="Arial"/>
          <w:sz w:val="20"/>
          <w:szCs w:val="20"/>
        </w:rPr>
        <w:t xml:space="preserve"> </w:t>
      </w:r>
      <w:r w:rsidRPr="007337C6">
        <w:rPr>
          <w:rFonts w:ascii="Trebuchet MS" w:hAnsi="Trebuchet MS" w:cs="Arial"/>
          <w:sz w:val="20"/>
          <w:szCs w:val="20"/>
        </w:rPr>
        <w:t xml:space="preserve">This assessment is as if the Transfer was taking place as at 30 September 2020; therefore, includes the impact of </w:t>
      </w:r>
      <w:r w:rsidR="005E55C1">
        <w:rPr>
          <w:rFonts w:ascii="Trebuchet MS" w:hAnsi="Trebuchet MS" w:cs="Arial"/>
          <w:sz w:val="20"/>
          <w:szCs w:val="20"/>
        </w:rPr>
        <w:t>COVID-19</w:t>
      </w:r>
      <w:r w:rsidRPr="007337C6">
        <w:rPr>
          <w:rFonts w:ascii="Trebuchet MS" w:hAnsi="Trebuchet MS" w:cs="Arial"/>
          <w:sz w:val="20"/>
          <w:szCs w:val="20"/>
        </w:rPr>
        <w:t>.</w:t>
      </w:r>
    </w:p>
    <w:p w14:paraId="62D86898" w14:textId="77777777" w:rsidR="00E65BB1" w:rsidRPr="007337C6" w:rsidRDefault="00E65BB1" w:rsidP="00E65BB1">
      <w:pPr>
        <w:pStyle w:val="ListParagraph"/>
        <w:rPr>
          <w:rFonts w:ascii="Trebuchet MS" w:hAnsi="Trebuchet MS" w:cs="Arial"/>
          <w:sz w:val="20"/>
          <w:szCs w:val="20"/>
        </w:rPr>
      </w:pPr>
    </w:p>
    <w:p w14:paraId="340AE94F" w14:textId="43A37754" w:rsidR="0083430F" w:rsidRPr="007337C6" w:rsidRDefault="0083430F" w:rsidP="00421D3C">
      <w:pPr>
        <w:pStyle w:val="Heading1"/>
        <w:numPr>
          <w:ilvl w:val="2"/>
          <w:numId w:val="1"/>
        </w:numPr>
        <w:rPr>
          <w:color w:val="0070C0"/>
        </w:rPr>
      </w:pPr>
      <w:bookmarkStart w:id="68" w:name="_Toc48907942"/>
      <w:bookmarkStart w:id="69" w:name="_Toc52451877"/>
      <w:r w:rsidRPr="007337C6">
        <w:rPr>
          <w:color w:val="0070C0"/>
        </w:rPr>
        <w:t>Year End 2019 basis</w:t>
      </w:r>
      <w:bookmarkEnd w:id="68"/>
      <w:bookmarkEnd w:id="69"/>
    </w:p>
    <w:p w14:paraId="53A48F41" w14:textId="5CF93AAB" w:rsidR="0083430F" w:rsidRPr="007337C6" w:rsidRDefault="0083430F" w:rsidP="0083430F">
      <w:pPr>
        <w:rPr>
          <w:rFonts w:ascii="Trebuchet MS" w:hAnsi="Trebuchet MS" w:cs="Arial"/>
          <w:sz w:val="20"/>
          <w:szCs w:val="20"/>
        </w:rPr>
      </w:pPr>
      <w:r w:rsidRPr="007337C6">
        <w:rPr>
          <w:rFonts w:ascii="Trebuchet MS" w:hAnsi="Trebuchet MS" w:cs="Arial"/>
          <w:sz w:val="20"/>
          <w:szCs w:val="20"/>
        </w:rPr>
        <w:t xml:space="preserve">In this basis, </w:t>
      </w:r>
      <w:r w:rsidR="00C407B1" w:rsidRPr="007337C6">
        <w:rPr>
          <w:rFonts w:ascii="Trebuchet MS" w:hAnsi="Trebuchet MS" w:cs="Arial"/>
          <w:sz w:val="20"/>
          <w:szCs w:val="20"/>
        </w:rPr>
        <w:t>the Transfer</w:t>
      </w:r>
      <w:r w:rsidRPr="007337C6">
        <w:rPr>
          <w:rFonts w:ascii="Trebuchet MS" w:hAnsi="Trebuchet MS" w:cs="Arial"/>
          <w:sz w:val="20"/>
          <w:szCs w:val="20"/>
        </w:rPr>
        <w:t xml:space="preserve"> date is assumed to be 31 December 2019. Therefore, </w:t>
      </w:r>
      <w:r w:rsidR="00421D3C" w:rsidRPr="007337C6">
        <w:rPr>
          <w:rFonts w:ascii="Trebuchet MS" w:hAnsi="Trebuchet MS" w:cs="Arial"/>
          <w:sz w:val="20"/>
          <w:szCs w:val="20"/>
        </w:rPr>
        <w:t xml:space="preserve">Before </w:t>
      </w:r>
      <w:r w:rsidR="007B0679" w:rsidRPr="007337C6">
        <w:rPr>
          <w:rFonts w:ascii="Trebuchet MS" w:hAnsi="Trebuchet MS" w:cs="Arial"/>
          <w:sz w:val="20"/>
          <w:szCs w:val="20"/>
        </w:rPr>
        <w:t xml:space="preserve">Transfer </w:t>
      </w:r>
      <w:r w:rsidRPr="007337C6">
        <w:rPr>
          <w:rFonts w:ascii="Trebuchet MS" w:hAnsi="Trebuchet MS" w:cs="Arial"/>
          <w:sz w:val="20"/>
          <w:szCs w:val="20"/>
        </w:rPr>
        <w:t xml:space="preserve">position relates to </w:t>
      </w:r>
      <w:r w:rsidR="0086709B" w:rsidRPr="007337C6">
        <w:rPr>
          <w:rFonts w:ascii="Trebuchet MS" w:hAnsi="Trebuchet MS" w:cs="Arial"/>
          <w:sz w:val="20"/>
          <w:szCs w:val="20"/>
        </w:rPr>
        <w:t xml:space="preserve">31 Dec 2019 </w:t>
      </w:r>
      <w:r w:rsidRPr="007337C6">
        <w:rPr>
          <w:rFonts w:ascii="Trebuchet MS" w:hAnsi="Trebuchet MS" w:cs="Arial"/>
          <w:sz w:val="20"/>
          <w:szCs w:val="20"/>
        </w:rPr>
        <w:t xml:space="preserve">and </w:t>
      </w:r>
      <w:r w:rsidR="00421D3C" w:rsidRPr="007337C6">
        <w:rPr>
          <w:rFonts w:ascii="Trebuchet MS" w:hAnsi="Trebuchet MS" w:cs="Arial"/>
          <w:sz w:val="20"/>
          <w:szCs w:val="20"/>
        </w:rPr>
        <w:t xml:space="preserve">After </w:t>
      </w:r>
      <w:r w:rsidR="007B0679" w:rsidRPr="007337C6">
        <w:rPr>
          <w:rFonts w:ascii="Trebuchet MS" w:hAnsi="Trebuchet MS" w:cs="Arial"/>
          <w:sz w:val="20"/>
          <w:szCs w:val="20"/>
        </w:rPr>
        <w:t xml:space="preserve">Transfer </w:t>
      </w:r>
      <w:r w:rsidRPr="007337C6">
        <w:rPr>
          <w:rFonts w:ascii="Trebuchet MS" w:hAnsi="Trebuchet MS" w:cs="Arial"/>
          <w:sz w:val="20"/>
          <w:szCs w:val="20"/>
        </w:rPr>
        <w:t>position relates to end “</w:t>
      </w:r>
      <w:r w:rsidR="0086709B" w:rsidRPr="007337C6">
        <w:rPr>
          <w:rFonts w:ascii="Trebuchet MS" w:hAnsi="Trebuchet MS" w:cs="Arial"/>
          <w:sz w:val="20"/>
          <w:szCs w:val="20"/>
        </w:rPr>
        <w:t>31 Dec 2019</w:t>
      </w:r>
      <w:r w:rsidRPr="007337C6">
        <w:rPr>
          <w:rFonts w:ascii="Trebuchet MS" w:hAnsi="Trebuchet MS" w:cs="Arial"/>
          <w:sz w:val="20"/>
          <w:szCs w:val="20"/>
        </w:rPr>
        <w:t xml:space="preserve"> + impact of Transfer (assessed as at </w:t>
      </w:r>
      <w:r w:rsidR="0086709B" w:rsidRPr="007337C6">
        <w:rPr>
          <w:rFonts w:ascii="Trebuchet MS" w:hAnsi="Trebuchet MS" w:cs="Arial"/>
          <w:sz w:val="20"/>
          <w:szCs w:val="20"/>
        </w:rPr>
        <w:t>31 Dec</w:t>
      </w:r>
      <w:r w:rsidRPr="007337C6">
        <w:rPr>
          <w:rFonts w:ascii="Trebuchet MS" w:hAnsi="Trebuchet MS" w:cs="Arial"/>
          <w:sz w:val="20"/>
          <w:szCs w:val="20"/>
        </w:rPr>
        <w:t xml:space="preserve"> 2019)”. </w:t>
      </w:r>
      <w:r w:rsidR="00780280" w:rsidRPr="007337C6">
        <w:rPr>
          <w:rFonts w:ascii="Trebuchet MS" w:hAnsi="Trebuchet MS" w:cs="Arial"/>
          <w:sz w:val="20"/>
          <w:szCs w:val="20"/>
        </w:rPr>
        <w:t xml:space="preserve"> The financials and developments in this section have been updated for the items described in section 4.1.  None of these change</w:t>
      </w:r>
      <w:r w:rsidR="000517D5">
        <w:rPr>
          <w:rFonts w:ascii="Trebuchet MS" w:hAnsi="Trebuchet MS" w:cs="Arial"/>
          <w:sz w:val="20"/>
          <w:szCs w:val="20"/>
        </w:rPr>
        <w:t>s</w:t>
      </w:r>
      <w:r w:rsidR="00780280" w:rsidRPr="007337C6">
        <w:rPr>
          <w:rFonts w:ascii="Trebuchet MS" w:hAnsi="Trebuchet MS" w:cs="Arial"/>
          <w:sz w:val="20"/>
          <w:szCs w:val="20"/>
        </w:rPr>
        <w:t xml:space="preserve"> </w:t>
      </w:r>
      <w:r w:rsidR="00154CBC" w:rsidRPr="007337C6">
        <w:rPr>
          <w:rFonts w:ascii="Trebuchet MS" w:hAnsi="Trebuchet MS" w:cs="Arial"/>
          <w:sz w:val="20"/>
          <w:szCs w:val="20"/>
        </w:rPr>
        <w:t>alters</w:t>
      </w:r>
      <w:r w:rsidR="00780280" w:rsidRPr="007337C6">
        <w:rPr>
          <w:rFonts w:ascii="Trebuchet MS" w:hAnsi="Trebuchet MS" w:cs="Arial"/>
          <w:sz w:val="20"/>
          <w:szCs w:val="20"/>
        </w:rPr>
        <w:t xml:space="preserve"> the conclusions of this report.</w:t>
      </w:r>
    </w:p>
    <w:p w14:paraId="6B188581" w14:textId="77777777" w:rsidR="0083430F" w:rsidRPr="007337C6" w:rsidRDefault="0083430F" w:rsidP="0083430F">
      <w:pPr>
        <w:rPr>
          <w:rFonts w:ascii="Trebuchet MS" w:hAnsi="Trebuchet MS" w:cs="Arial"/>
          <w:sz w:val="20"/>
          <w:szCs w:val="20"/>
        </w:rPr>
      </w:pPr>
      <w:r w:rsidRPr="007337C6">
        <w:rPr>
          <w:rFonts w:ascii="Trebuchet MS" w:hAnsi="Trebuchet MS" w:cs="Arial"/>
          <w:sz w:val="20"/>
          <w:szCs w:val="20"/>
        </w:rPr>
        <w:t>The financials have been constructed with the following constraints:</w:t>
      </w:r>
    </w:p>
    <w:p w14:paraId="26C69E5A" w14:textId="16D2250C" w:rsidR="0083430F" w:rsidRPr="007337C6" w:rsidRDefault="0083430F" w:rsidP="0083430F">
      <w:pPr>
        <w:pStyle w:val="ListParagraph"/>
        <w:numPr>
          <w:ilvl w:val="0"/>
          <w:numId w:val="26"/>
        </w:numPr>
        <w:rPr>
          <w:rFonts w:ascii="Trebuchet MS" w:hAnsi="Trebuchet MS" w:cs="Arial"/>
          <w:sz w:val="20"/>
          <w:szCs w:val="20"/>
        </w:rPr>
      </w:pPr>
      <w:r w:rsidRPr="007337C6">
        <w:rPr>
          <w:rFonts w:ascii="Trebuchet MS" w:hAnsi="Trebuchet MS" w:cs="Arial"/>
          <w:sz w:val="20"/>
          <w:szCs w:val="20"/>
        </w:rPr>
        <w:t xml:space="preserve">The </w:t>
      </w:r>
      <w:r w:rsidR="007B0679" w:rsidRPr="007337C6">
        <w:rPr>
          <w:rFonts w:ascii="Trebuchet MS" w:hAnsi="Trebuchet MS" w:cs="Arial"/>
          <w:sz w:val="20"/>
          <w:szCs w:val="20"/>
        </w:rPr>
        <w:t xml:space="preserve">post-Transfer </w:t>
      </w:r>
      <w:r w:rsidRPr="007337C6">
        <w:rPr>
          <w:rFonts w:ascii="Trebuchet MS" w:hAnsi="Trebuchet MS" w:cs="Arial"/>
          <w:sz w:val="20"/>
          <w:szCs w:val="20"/>
        </w:rPr>
        <w:t>ratio of Own Funds to SCR must not be less than 140% for AEI</w:t>
      </w:r>
    </w:p>
    <w:p w14:paraId="14DAF5DE" w14:textId="23DF42EB" w:rsidR="00FF46E4" w:rsidRPr="007337C6" w:rsidRDefault="00FF46E4" w:rsidP="0083430F">
      <w:pPr>
        <w:pStyle w:val="ListParagraph"/>
        <w:numPr>
          <w:ilvl w:val="0"/>
          <w:numId w:val="26"/>
        </w:numPr>
        <w:rPr>
          <w:rFonts w:ascii="Trebuchet MS" w:hAnsi="Trebuchet MS" w:cs="Arial"/>
          <w:sz w:val="20"/>
          <w:szCs w:val="20"/>
        </w:rPr>
      </w:pPr>
      <w:r w:rsidRPr="007337C6">
        <w:rPr>
          <w:rFonts w:ascii="Trebuchet MS" w:hAnsi="Trebuchet MS" w:cs="Arial"/>
          <w:sz w:val="20"/>
          <w:szCs w:val="20"/>
        </w:rPr>
        <w:t xml:space="preserve">The sale of the EU portfolios of AGIL and LGI to AEI is a fair value transaction at arm’s length. </w:t>
      </w:r>
      <w:proofErr w:type="gramStart"/>
      <w:r w:rsidRPr="007337C6">
        <w:rPr>
          <w:rFonts w:ascii="Trebuchet MS" w:hAnsi="Trebuchet MS" w:cs="Arial"/>
          <w:sz w:val="20"/>
          <w:szCs w:val="20"/>
        </w:rPr>
        <w:t>i.e</w:t>
      </w:r>
      <w:proofErr w:type="gramEnd"/>
      <w:r w:rsidRPr="007337C6">
        <w:rPr>
          <w:rFonts w:ascii="Trebuchet MS" w:hAnsi="Trebuchet MS" w:cs="Arial"/>
          <w:sz w:val="20"/>
          <w:szCs w:val="20"/>
        </w:rPr>
        <w:t>. a fair price has been paid by AEI</w:t>
      </w:r>
      <w:r w:rsidR="00FD7DE5" w:rsidRPr="007337C6">
        <w:rPr>
          <w:rFonts w:ascii="Trebuchet MS" w:hAnsi="Trebuchet MS" w:cs="Arial"/>
          <w:sz w:val="20"/>
          <w:szCs w:val="20"/>
        </w:rPr>
        <w:t xml:space="preserve"> to AGIL and LGI, although the transfer is an intragroup transaction</w:t>
      </w:r>
      <w:r w:rsidRPr="007337C6">
        <w:rPr>
          <w:rFonts w:ascii="Trebuchet MS" w:hAnsi="Trebuchet MS" w:cs="Arial"/>
          <w:sz w:val="20"/>
          <w:szCs w:val="20"/>
        </w:rPr>
        <w:t>. Note that this was</w:t>
      </w:r>
      <w:r w:rsidR="00F45C61">
        <w:rPr>
          <w:rFonts w:ascii="Trebuchet MS" w:hAnsi="Trebuchet MS" w:cs="Arial"/>
          <w:sz w:val="20"/>
          <w:szCs w:val="20"/>
        </w:rPr>
        <w:t xml:space="preserve"> no</w:t>
      </w:r>
      <w:r w:rsidRPr="007337C6">
        <w:rPr>
          <w:rFonts w:ascii="Trebuchet MS" w:hAnsi="Trebuchet MS" w:cs="Arial"/>
          <w:sz w:val="20"/>
          <w:szCs w:val="20"/>
        </w:rPr>
        <w:t>t made explicit in the initial report where the sale price was</w:t>
      </w:r>
      <w:r w:rsidR="00082924">
        <w:rPr>
          <w:rFonts w:ascii="Trebuchet MS" w:hAnsi="Trebuchet MS" w:cs="Arial"/>
          <w:sz w:val="20"/>
          <w:szCs w:val="20"/>
        </w:rPr>
        <w:t xml:space="preserve"> no</w:t>
      </w:r>
      <w:r w:rsidRPr="007337C6">
        <w:rPr>
          <w:rFonts w:ascii="Trebuchet MS" w:hAnsi="Trebuchet MS" w:cs="Arial"/>
          <w:sz w:val="20"/>
          <w:szCs w:val="20"/>
        </w:rPr>
        <w:t>t included in the financials.</w:t>
      </w:r>
    </w:p>
    <w:p w14:paraId="4DC1E27C" w14:textId="5E1E1CF0" w:rsidR="0083430F" w:rsidRPr="007337C6" w:rsidRDefault="00C407B1" w:rsidP="0083430F">
      <w:pPr>
        <w:pStyle w:val="ListParagraph"/>
        <w:numPr>
          <w:ilvl w:val="0"/>
          <w:numId w:val="26"/>
        </w:numPr>
        <w:rPr>
          <w:rFonts w:ascii="Trebuchet MS" w:hAnsi="Trebuchet MS" w:cs="Arial"/>
          <w:sz w:val="20"/>
          <w:szCs w:val="20"/>
        </w:rPr>
      </w:pPr>
      <w:r w:rsidRPr="007337C6">
        <w:rPr>
          <w:rFonts w:ascii="Trebuchet MS" w:hAnsi="Trebuchet MS" w:cs="Arial"/>
          <w:sz w:val="20"/>
          <w:szCs w:val="20"/>
        </w:rPr>
        <w:t>The Transfer</w:t>
      </w:r>
      <w:r w:rsidR="0083430F" w:rsidRPr="007337C6">
        <w:rPr>
          <w:rFonts w:ascii="Trebuchet MS" w:hAnsi="Trebuchet MS" w:cs="Arial"/>
          <w:sz w:val="20"/>
          <w:szCs w:val="20"/>
        </w:rPr>
        <w:t xml:space="preserve"> must be at zero profit or loss on </w:t>
      </w:r>
      <w:r w:rsidR="00AF4522" w:rsidRPr="007337C6">
        <w:rPr>
          <w:rFonts w:ascii="Trebuchet MS" w:hAnsi="Trebuchet MS" w:cs="Arial"/>
          <w:sz w:val="20"/>
          <w:szCs w:val="20"/>
        </w:rPr>
        <w:t>Solvency II</w:t>
      </w:r>
      <w:r w:rsidR="0083430F" w:rsidRPr="007337C6">
        <w:rPr>
          <w:rFonts w:ascii="Trebuchet MS" w:hAnsi="Trebuchet MS" w:cs="Arial"/>
          <w:sz w:val="20"/>
          <w:szCs w:val="20"/>
        </w:rPr>
        <w:t xml:space="preserve"> basis (i.e. the liabilities and assets to be transferred must be equal)</w:t>
      </w:r>
      <w:r w:rsidR="00AF4522" w:rsidRPr="007337C6">
        <w:rPr>
          <w:rFonts w:ascii="Trebuchet MS" w:hAnsi="Trebuchet MS" w:cs="Arial"/>
          <w:sz w:val="20"/>
          <w:szCs w:val="20"/>
        </w:rPr>
        <w:t>. Note that in the initial report the zero-profit assumption was applied on GAAP basis. However, to align with the fair value and arm’s length approach on GAAP basis, we have allowed for profit/loss generation on GAAP basis.</w:t>
      </w:r>
    </w:p>
    <w:p w14:paraId="221A7D0D" w14:textId="4BD57C35" w:rsidR="0083430F" w:rsidRPr="00C649FD" w:rsidRDefault="0083430F" w:rsidP="00C649FD">
      <w:pPr>
        <w:pStyle w:val="ListParagraph"/>
        <w:numPr>
          <w:ilvl w:val="0"/>
          <w:numId w:val="26"/>
        </w:numPr>
        <w:rPr>
          <w:rFonts w:ascii="Trebuchet MS" w:hAnsi="Trebuchet MS" w:cs="Arial"/>
          <w:sz w:val="20"/>
          <w:szCs w:val="20"/>
        </w:rPr>
      </w:pPr>
      <w:r w:rsidRPr="00C649FD">
        <w:rPr>
          <w:rFonts w:ascii="Trebuchet MS" w:hAnsi="Trebuchet MS" w:cs="Arial"/>
          <w:sz w:val="20"/>
          <w:szCs w:val="20"/>
        </w:rPr>
        <w:t xml:space="preserve">Other Assets balance sheet line </w:t>
      </w:r>
      <w:r w:rsidR="00F45C61" w:rsidRPr="00C649FD">
        <w:rPr>
          <w:rFonts w:ascii="Trebuchet MS" w:hAnsi="Trebuchet MS" w:cs="Arial"/>
          <w:sz w:val="20"/>
          <w:szCs w:val="20"/>
        </w:rPr>
        <w:t xml:space="preserve">has been </w:t>
      </w:r>
      <w:r w:rsidRPr="00C649FD">
        <w:rPr>
          <w:rFonts w:ascii="Trebuchet MS" w:hAnsi="Trebuchet MS" w:cs="Arial"/>
          <w:sz w:val="20"/>
          <w:szCs w:val="20"/>
        </w:rPr>
        <w:t xml:space="preserve">used as the </w:t>
      </w:r>
      <w:r w:rsidR="00F45C61" w:rsidRPr="00C649FD">
        <w:rPr>
          <w:rFonts w:ascii="Trebuchet MS" w:hAnsi="Trebuchet MS" w:cs="Arial"/>
          <w:sz w:val="20"/>
          <w:szCs w:val="20"/>
        </w:rPr>
        <w:t>‘</w:t>
      </w:r>
      <w:r w:rsidRPr="00C649FD">
        <w:rPr>
          <w:rFonts w:ascii="Trebuchet MS" w:hAnsi="Trebuchet MS" w:cs="Arial"/>
          <w:sz w:val="20"/>
          <w:szCs w:val="20"/>
        </w:rPr>
        <w:t>balancing item</w:t>
      </w:r>
      <w:r w:rsidR="00F45C61" w:rsidRPr="00C649FD">
        <w:rPr>
          <w:rFonts w:ascii="Trebuchet MS" w:hAnsi="Trebuchet MS" w:cs="Arial"/>
          <w:sz w:val="20"/>
          <w:szCs w:val="20"/>
        </w:rPr>
        <w:t>’.</w:t>
      </w:r>
      <w:r w:rsidR="00C649FD" w:rsidRPr="00C649FD">
        <w:rPr>
          <w:rFonts w:ascii="Trebuchet MS" w:hAnsi="Trebuchet MS" w:cs="Arial"/>
          <w:sz w:val="20"/>
          <w:szCs w:val="20"/>
        </w:rPr>
        <w:t xml:space="preserve"> Note that the use of such balancing items is common practice in the preparation of financial forecasts</w:t>
      </w:r>
      <w:r w:rsidR="00C649FD">
        <w:rPr>
          <w:rFonts w:ascii="Trebuchet MS" w:hAnsi="Trebuchet MS" w:cs="Arial"/>
          <w:sz w:val="20"/>
          <w:szCs w:val="20"/>
        </w:rPr>
        <w:t>.</w:t>
      </w:r>
    </w:p>
    <w:p w14:paraId="46CF1D05" w14:textId="211735C5" w:rsidR="003071E6" w:rsidRDefault="00FD7DE5" w:rsidP="0083430F">
      <w:pPr>
        <w:rPr>
          <w:rFonts w:ascii="Trebuchet MS" w:hAnsi="Trebuchet MS" w:cs="Arial"/>
          <w:sz w:val="20"/>
          <w:szCs w:val="20"/>
        </w:rPr>
      </w:pPr>
      <w:r w:rsidRPr="007337C6">
        <w:rPr>
          <w:rFonts w:ascii="Trebuchet MS" w:hAnsi="Trebuchet MS" w:cs="Arial"/>
          <w:sz w:val="20"/>
          <w:szCs w:val="20"/>
        </w:rPr>
        <w:t xml:space="preserve">There have been some </w:t>
      </w:r>
      <w:r w:rsidR="00F45C61">
        <w:rPr>
          <w:rFonts w:ascii="Trebuchet MS" w:hAnsi="Trebuchet MS" w:cs="Arial"/>
          <w:sz w:val="20"/>
          <w:szCs w:val="20"/>
        </w:rPr>
        <w:t>changes to</w:t>
      </w:r>
      <w:r w:rsidRPr="007337C6">
        <w:rPr>
          <w:rFonts w:ascii="Trebuchet MS" w:hAnsi="Trebuchet MS" w:cs="Arial"/>
          <w:sz w:val="20"/>
          <w:szCs w:val="20"/>
        </w:rPr>
        <w:t xml:space="preserve"> the audited YE19 results</w:t>
      </w:r>
      <w:r w:rsidR="00F45C61">
        <w:rPr>
          <w:rFonts w:ascii="Trebuchet MS" w:hAnsi="Trebuchet MS" w:cs="Arial"/>
          <w:sz w:val="20"/>
          <w:szCs w:val="20"/>
        </w:rPr>
        <w:t xml:space="preserve"> further to</w:t>
      </w:r>
      <w:r w:rsidRPr="007337C6">
        <w:rPr>
          <w:rFonts w:ascii="Trebuchet MS" w:hAnsi="Trebuchet MS" w:cs="Arial"/>
          <w:sz w:val="20"/>
          <w:szCs w:val="20"/>
        </w:rPr>
        <w:t xml:space="preserve"> audit; therefore, the YE19 amounts in the supplementary report are different to the ones in the initial report.</w:t>
      </w:r>
    </w:p>
    <w:p w14:paraId="59E3B37A" w14:textId="7BA75253" w:rsidR="00470861" w:rsidRPr="007337C6" w:rsidRDefault="00470861" w:rsidP="0083430F">
      <w:pPr>
        <w:rPr>
          <w:rFonts w:ascii="Trebuchet MS" w:hAnsi="Trebuchet MS" w:cs="Arial"/>
          <w:sz w:val="20"/>
          <w:szCs w:val="20"/>
        </w:rPr>
      </w:pPr>
      <w:r w:rsidRPr="00470861">
        <w:rPr>
          <w:noProof/>
          <w:lang w:eastAsia="en-GB"/>
        </w:rPr>
        <w:lastRenderedPageBreak/>
        <w:drawing>
          <wp:inline distT="0" distB="0" distL="0" distR="0" wp14:anchorId="5D723DE4" wp14:editId="731FF5CC">
            <wp:extent cx="6645910" cy="3195320"/>
            <wp:effectExtent l="0" t="0" r="254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5910" cy="3195320"/>
                    </a:xfrm>
                    <a:prstGeom prst="rect">
                      <a:avLst/>
                    </a:prstGeom>
                    <a:noFill/>
                    <a:ln>
                      <a:noFill/>
                    </a:ln>
                  </pic:spPr>
                </pic:pic>
              </a:graphicData>
            </a:graphic>
          </wp:inline>
        </w:drawing>
      </w:r>
    </w:p>
    <w:p w14:paraId="39E66ECE" w14:textId="53330D7A" w:rsidR="00C06F24" w:rsidRPr="007337C6" w:rsidRDefault="00CF6323" w:rsidP="00CF6323">
      <w:pPr>
        <w:pStyle w:val="ListParagraph"/>
        <w:numPr>
          <w:ilvl w:val="0"/>
          <w:numId w:val="37"/>
        </w:numPr>
        <w:rPr>
          <w:rFonts w:ascii="Trebuchet MS" w:hAnsi="Trebuchet MS" w:cs="Arial"/>
          <w:sz w:val="20"/>
          <w:szCs w:val="20"/>
        </w:rPr>
      </w:pPr>
      <w:r w:rsidRPr="007337C6">
        <w:rPr>
          <w:rFonts w:ascii="Trebuchet MS" w:hAnsi="Trebuchet MS" w:cs="Arial"/>
          <w:sz w:val="20"/>
          <w:szCs w:val="20"/>
        </w:rPr>
        <w:t>The sale of the EU portfolio of AGIL to AEI has been valued at £</w:t>
      </w:r>
      <w:r w:rsidR="00C06F24" w:rsidRPr="007337C6">
        <w:rPr>
          <w:rFonts w:ascii="Trebuchet MS" w:hAnsi="Trebuchet MS" w:cs="Arial"/>
          <w:sz w:val="20"/>
          <w:szCs w:val="20"/>
        </w:rPr>
        <w:t>10.1</w:t>
      </w:r>
      <w:r w:rsidRPr="007337C6">
        <w:rPr>
          <w:rFonts w:ascii="Trebuchet MS" w:hAnsi="Trebuchet MS" w:cs="Arial"/>
          <w:sz w:val="20"/>
          <w:szCs w:val="20"/>
        </w:rPr>
        <w:t xml:space="preserve">m, </w:t>
      </w:r>
      <w:r w:rsidR="00235142">
        <w:rPr>
          <w:rFonts w:ascii="Trebuchet MS" w:hAnsi="Trebuchet MS" w:cs="Arial"/>
          <w:sz w:val="20"/>
          <w:szCs w:val="20"/>
        </w:rPr>
        <w:t>which is</w:t>
      </w:r>
      <w:r w:rsidRPr="007337C6">
        <w:rPr>
          <w:rFonts w:ascii="Trebuchet MS" w:hAnsi="Trebuchet MS" w:cs="Arial"/>
          <w:sz w:val="20"/>
          <w:szCs w:val="20"/>
        </w:rPr>
        <w:t xml:space="preserve"> the</w:t>
      </w:r>
      <w:r w:rsidR="00235142">
        <w:rPr>
          <w:rFonts w:ascii="Trebuchet MS" w:hAnsi="Trebuchet MS" w:cs="Arial"/>
          <w:sz w:val="20"/>
          <w:szCs w:val="20"/>
        </w:rPr>
        <w:t xml:space="preserve"> expected</w:t>
      </w:r>
      <w:r w:rsidRPr="007337C6">
        <w:rPr>
          <w:rFonts w:ascii="Trebuchet MS" w:hAnsi="Trebuchet MS" w:cs="Arial"/>
          <w:sz w:val="20"/>
          <w:szCs w:val="20"/>
        </w:rPr>
        <w:t xml:space="preserve"> price </w:t>
      </w:r>
      <w:r w:rsidR="00235142">
        <w:rPr>
          <w:rFonts w:ascii="Trebuchet MS" w:hAnsi="Trebuchet MS" w:cs="Arial"/>
          <w:sz w:val="20"/>
          <w:szCs w:val="20"/>
        </w:rPr>
        <w:t xml:space="preserve">to be </w:t>
      </w:r>
      <w:r w:rsidRPr="007337C6">
        <w:rPr>
          <w:rFonts w:ascii="Trebuchet MS" w:hAnsi="Trebuchet MS" w:cs="Arial"/>
          <w:sz w:val="20"/>
          <w:szCs w:val="20"/>
        </w:rPr>
        <w:t>paid by AEI to AGIL, valued at fair value in an arm’s length approach that takes into consideration goodwill and any other intangibles. Note that this was not made explicit in the initial report.</w:t>
      </w:r>
    </w:p>
    <w:p w14:paraId="05E5600F" w14:textId="355CFC70" w:rsidR="0008703A" w:rsidRPr="007337C6" w:rsidRDefault="0008703A" w:rsidP="00165C01">
      <w:pPr>
        <w:pStyle w:val="ListParagraph"/>
        <w:numPr>
          <w:ilvl w:val="0"/>
          <w:numId w:val="37"/>
        </w:numPr>
        <w:rPr>
          <w:rFonts w:ascii="Trebuchet MS" w:eastAsia="Times New Roman" w:hAnsi="Trebuchet MS"/>
        </w:rPr>
      </w:pPr>
      <w:r w:rsidRPr="007337C6">
        <w:rPr>
          <w:rFonts w:ascii="Trebuchet MS" w:hAnsi="Trebuchet MS" w:cs="Arial"/>
          <w:sz w:val="20"/>
          <w:szCs w:val="20"/>
        </w:rPr>
        <w:t xml:space="preserve">The </w:t>
      </w:r>
      <w:r w:rsidR="00A53227" w:rsidRPr="007337C6">
        <w:rPr>
          <w:rFonts w:ascii="Trebuchet MS" w:hAnsi="Trebuchet MS" w:cs="Arial"/>
          <w:sz w:val="20"/>
          <w:szCs w:val="20"/>
        </w:rPr>
        <w:t xml:space="preserve">revised </w:t>
      </w:r>
      <w:r w:rsidR="00233CC5" w:rsidRPr="007337C6">
        <w:rPr>
          <w:rFonts w:ascii="Trebuchet MS" w:hAnsi="Trebuchet MS" w:cs="Arial"/>
          <w:sz w:val="20"/>
          <w:szCs w:val="20"/>
        </w:rPr>
        <w:t xml:space="preserve">contract boundary </w:t>
      </w:r>
      <w:r w:rsidR="00A53227" w:rsidRPr="007337C6">
        <w:rPr>
          <w:rFonts w:ascii="Trebuchet MS" w:hAnsi="Trebuchet MS" w:cs="Arial"/>
          <w:sz w:val="20"/>
          <w:szCs w:val="20"/>
        </w:rPr>
        <w:t xml:space="preserve">assumption on </w:t>
      </w:r>
      <w:r w:rsidR="00CA1E2E" w:rsidRPr="007337C6">
        <w:rPr>
          <w:rFonts w:ascii="Trebuchet MS" w:hAnsi="Trebuchet MS" w:cs="Arial"/>
          <w:sz w:val="20"/>
          <w:szCs w:val="20"/>
        </w:rPr>
        <w:t xml:space="preserve">a major </w:t>
      </w:r>
      <w:r w:rsidR="00A53227" w:rsidRPr="007337C6">
        <w:rPr>
          <w:rFonts w:ascii="Trebuchet MS" w:hAnsi="Trebuchet MS" w:cs="Arial"/>
          <w:sz w:val="20"/>
          <w:szCs w:val="20"/>
        </w:rPr>
        <w:t>UK scheme</w:t>
      </w:r>
      <w:r w:rsidR="00235142">
        <w:rPr>
          <w:rFonts w:ascii="Trebuchet MS" w:hAnsi="Trebuchet MS" w:cs="Arial"/>
          <w:sz w:val="20"/>
          <w:szCs w:val="20"/>
        </w:rPr>
        <w:t>,</w:t>
      </w:r>
      <w:r w:rsidR="00A53227" w:rsidRPr="007337C6">
        <w:rPr>
          <w:rFonts w:ascii="Trebuchet MS" w:hAnsi="Trebuchet MS" w:cs="Arial"/>
          <w:sz w:val="20"/>
          <w:szCs w:val="20"/>
        </w:rPr>
        <w:t xml:space="preserve"> whereby</w:t>
      </w:r>
      <w:r w:rsidR="00235142">
        <w:rPr>
          <w:rFonts w:ascii="Trebuchet MS" w:hAnsi="Trebuchet MS" w:cs="Arial"/>
          <w:sz w:val="20"/>
          <w:szCs w:val="20"/>
        </w:rPr>
        <w:t xml:space="preserve"> a</w:t>
      </w:r>
      <w:r w:rsidR="00A53227" w:rsidRPr="007337C6">
        <w:rPr>
          <w:rFonts w:ascii="Trebuchet MS" w:hAnsi="Trebuchet MS" w:cs="Arial"/>
          <w:sz w:val="20"/>
          <w:szCs w:val="20"/>
        </w:rPr>
        <w:t xml:space="preserve"> </w:t>
      </w:r>
      <w:r w:rsidR="00C06F24" w:rsidRPr="007337C6">
        <w:rPr>
          <w:rFonts w:ascii="Trebuchet MS" w:hAnsi="Trebuchet MS" w:cs="Arial"/>
          <w:sz w:val="20"/>
          <w:szCs w:val="20"/>
        </w:rPr>
        <w:t xml:space="preserve">longer contract boundary has been assumed, and </w:t>
      </w:r>
      <w:r w:rsidR="00A53227" w:rsidRPr="007337C6">
        <w:rPr>
          <w:rFonts w:ascii="Trebuchet MS" w:hAnsi="Trebuchet MS" w:cs="Arial"/>
          <w:sz w:val="20"/>
          <w:szCs w:val="20"/>
        </w:rPr>
        <w:t>more future premium has been accounted for</w:t>
      </w:r>
      <w:r w:rsidR="00235142">
        <w:rPr>
          <w:rFonts w:ascii="Trebuchet MS" w:hAnsi="Trebuchet MS" w:cs="Arial"/>
          <w:sz w:val="20"/>
          <w:szCs w:val="20"/>
        </w:rPr>
        <w:t>,</w:t>
      </w:r>
      <w:r w:rsidR="00A53227" w:rsidRPr="007337C6">
        <w:rPr>
          <w:rFonts w:ascii="Trebuchet MS" w:hAnsi="Trebuchet MS" w:cs="Arial"/>
          <w:sz w:val="20"/>
          <w:szCs w:val="20"/>
        </w:rPr>
        <w:t xml:space="preserve"> has resulted in negative premium provision</w:t>
      </w:r>
      <w:r w:rsidR="00C06F24" w:rsidRPr="007337C6">
        <w:rPr>
          <w:rFonts w:ascii="Trebuchet MS" w:hAnsi="Trebuchet MS" w:cs="Arial"/>
          <w:sz w:val="20"/>
          <w:szCs w:val="20"/>
        </w:rPr>
        <w:t xml:space="preserve"> and </w:t>
      </w:r>
      <w:r w:rsidR="00F23FFC" w:rsidRPr="007337C6">
        <w:rPr>
          <w:rFonts w:ascii="Trebuchet MS" w:hAnsi="Trebuchet MS" w:cs="Arial"/>
          <w:sz w:val="20"/>
          <w:szCs w:val="20"/>
        </w:rPr>
        <w:t xml:space="preserve">negative </w:t>
      </w:r>
      <w:r w:rsidR="00C06F24" w:rsidRPr="007337C6">
        <w:rPr>
          <w:rFonts w:ascii="Trebuchet MS" w:hAnsi="Trebuchet MS" w:cs="Arial"/>
          <w:sz w:val="20"/>
          <w:szCs w:val="20"/>
        </w:rPr>
        <w:t xml:space="preserve">total </w:t>
      </w:r>
      <w:proofErr w:type="spellStart"/>
      <w:r w:rsidR="00C06F24" w:rsidRPr="007337C6">
        <w:rPr>
          <w:rFonts w:ascii="Trebuchet MS" w:hAnsi="Trebuchet MS" w:cs="Arial"/>
          <w:sz w:val="20"/>
          <w:szCs w:val="20"/>
        </w:rPr>
        <w:t>TPs</w:t>
      </w:r>
      <w:proofErr w:type="spellEnd"/>
      <w:r w:rsidR="00A53227" w:rsidRPr="007337C6">
        <w:rPr>
          <w:rFonts w:ascii="Trebuchet MS" w:hAnsi="Trebuchet MS" w:cs="Arial"/>
          <w:sz w:val="20"/>
          <w:szCs w:val="20"/>
        </w:rPr>
        <w:t xml:space="preserve"> in AGIL remaining non-Transferring UK business.</w:t>
      </w:r>
      <w:r w:rsidR="00CA1E2E" w:rsidRPr="007337C6">
        <w:rPr>
          <w:rFonts w:ascii="Trebuchet MS" w:hAnsi="Trebuchet MS" w:cs="Arial"/>
          <w:sz w:val="20"/>
          <w:szCs w:val="20"/>
        </w:rPr>
        <w:t xml:space="preserve"> The scheme in question is profitable with loss ratios well below 100% and</w:t>
      </w:r>
      <w:r w:rsidR="00235142">
        <w:rPr>
          <w:rFonts w:ascii="Trebuchet MS" w:hAnsi="Trebuchet MS" w:cs="Arial"/>
          <w:sz w:val="20"/>
          <w:szCs w:val="20"/>
        </w:rPr>
        <w:t>,</w:t>
      </w:r>
      <w:r w:rsidR="00CA1E2E" w:rsidRPr="007337C6">
        <w:rPr>
          <w:rFonts w:ascii="Trebuchet MS" w:hAnsi="Trebuchet MS" w:cs="Arial"/>
          <w:sz w:val="20"/>
          <w:szCs w:val="20"/>
        </w:rPr>
        <w:t xml:space="preserve"> as more future profit is allowed for in the </w:t>
      </w:r>
      <w:proofErr w:type="spellStart"/>
      <w:r w:rsidR="00CA1E2E" w:rsidRPr="007337C6">
        <w:rPr>
          <w:rFonts w:ascii="Trebuchet MS" w:hAnsi="Trebuchet MS" w:cs="Arial"/>
          <w:sz w:val="20"/>
          <w:szCs w:val="20"/>
        </w:rPr>
        <w:t>TPs</w:t>
      </w:r>
      <w:proofErr w:type="spellEnd"/>
      <w:r w:rsidR="00CA1E2E" w:rsidRPr="007337C6">
        <w:rPr>
          <w:rFonts w:ascii="Trebuchet MS" w:hAnsi="Trebuchet MS" w:cs="Arial"/>
          <w:sz w:val="20"/>
          <w:szCs w:val="20"/>
        </w:rPr>
        <w:t xml:space="preserve"> with longer contract boundary span, </w:t>
      </w:r>
      <w:r w:rsidR="00235142">
        <w:rPr>
          <w:rFonts w:ascii="Trebuchet MS" w:hAnsi="Trebuchet MS" w:cs="Arial"/>
          <w:sz w:val="20"/>
          <w:szCs w:val="20"/>
        </w:rPr>
        <w:t xml:space="preserve">the </w:t>
      </w:r>
      <w:r w:rsidR="00CA1E2E" w:rsidRPr="007337C6">
        <w:rPr>
          <w:rFonts w:ascii="Trebuchet MS" w:hAnsi="Trebuchet MS" w:cs="Arial"/>
          <w:sz w:val="20"/>
          <w:szCs w:val="20"/>
        </w:rPr>
        <w:t>Premium Provision becomes negative and makes the</w:t>
      </w:r>
      <w:r w:rsidR="00C06F24" w:rsidRPr="007337C6">
        <w:rPr>
          <w:rFonts w:ascii="Trebuchet MS" w:hAnsi="Trebuchet MS" w:cs="Arial"/>
          <w:sz w:val="20"/>
          <w:szCs w:val="20"/>
        </w:rPr>
        <w:t xml:space="preserve"> total</w:t>
      </w:r>
      <w:r w:rsidR="00CA1E2E" w:rsidRPr="007337C6">
        <w:rPr>
          <w:rFonts w:ascii="Trebuchet MS" w:hAnsi="Trebuchet MS" w:cs="Arial"/>
          <w:sz w:val="20"/>
          <w:szCs w:val="20"/>
        </w:rPr>
        <w:t xml:space="preserve"> </w:t>
      </w:r>
      <w:proofErr w:type="spellStart"/>
      <w:r w:rsidR="00CA1E2E" w:rsidRPr="007337C6">
        <w:rPr>
          <w:rFonts w:ascii="Trebuchet MS" w:hAnsi="Trebuchet MS" w:cs="Arial"/>
          <w:sz w:val="20"/>
          <w:szCs w:val="20"/>
        </w:rPr>
        <w:t>TPs</w:t>
      </w:r>
      <w:proofErr w:type="spellEnd"/>
      <w:r w:rsidR="00CA1E2E" w:rsidRPr="007337C6">
        <w:rPr>
          <w:rFonts w:ascii="Trebuchet MS" w:hAnsi="Trebuchet MS" w:cs="Arial"/>
          <w:sz w:val="20"/>
          <w:szCs w:val="20"/>
        </w:rPr>
        <w:t xml:space="preserve"> negative</w:t>
      </w:r>
      <w:r w:rsidR="00235142">
        <w:rPr>
          <w:rFonts w:ascii="Trebuchet MS" w:hAnsi="Trebuchet MS" w:cs="Arial"/>
          <w:sz w:val="20"/>
          <w:szCs w:val="20"/>
        </w:rPr>
        <w:t>,</w:t>
      </w:r>
      <w:r w:rsidR="00CA1E2E" w:rsidRPr="007337C6">
        <w:rPr>
          <w:rFonts w:ascii="Trebuchet MS" w:hAnsi="Trebuchet MS" w:cs="Arial"/>
          <w:sz w:val="20"/>
          <w:szCs w:val="20"/>
        </w:rPr>
        <w:t xml:space="preserve"> as</w:t>
      </w:r>
      <w:r w:rsidR="00235142">
        <w:rPr>
          <w:rFonts w:ascii="Trebuchet MS" w:hAnsi="Trebuchet MS" w:cs="Arial"/>
          <w:sz w:val="20"/>
          <w:szCs w:val="20"/>
        </w:rPr>
        <w:t xml:space="preserve"> </w:t>
      </w:r>
      <w:r w:rsidR="00CA1E2E" w:rsidRPr="007337C6">
        <w:rPr>
          <w:rFonts w:ascii="Trebuchet MS" w:hAnsi="Trebuchet MS" w:cs="Arial"/>
          <w:sz w:val="20"/>
          <w:szCs w:val="20"/>
        </w:rPr>
        <w:t>seen in the Solvency II balance sheet above.</w:t>
      </w:r>
      <w:r w:rsidR="00026148" w:rsidRPr="007337C6">
        <w:rPr>
          <w:rFonts w:ascii="Trebuchet MS" w:hAnsi="Trebuchet MS" w:cs="Arial"/>
          <w:sz w:val="20"/>
          <w:szCs w:val="20"/>
        </w:rPr>
        <w:t xml:space="preserve"> </w:t>
      </w:r>
      <w:r w:rsidR="004D3142" w:rsidRPr="007337C6">
        <w:rPr>
          <w:rFonts w:ascii="Trebuchet MS" w:hAnsi="Trebuchet MS" w:cs="Arial"/>
          <w:sz w:val="20"/>
          <w:szCs w:val="20"/>
        </w:rPr>
        <w:t xml:space="preserve">This is in line with common </w:t>
      </w:r>
      <w:r w:rsidR="00235142">
        <w:rPr>
          <w:rFonts w:ascii="Trebuchet MS" w:hAnsi="Trebuchet MS" w:cs="Arial"/>
          <w:sz w:val="20"/>
          <w:szCs w:val="20"/>
        </w:rPr>
        <w:t>S</w:t>
      </w:r>
      <w:r w:rsidR="004D3142" w:rsidRPr="007337C6">
        <w:rPr>
          <w:rFonts w:ascii="Trebuchet MS" w:hAnsi="Trebuchet MS" w:cs="Arial"/>
          <w:sz w:val="20"/>
          <w:szCs w:val="20"/>
        </w:rPr>
        <w:t xml:space="preserve">olvency </w:t>
      </w:r>
      <w:r w:rsidR="000F2B6E" w:rsidRPr="007337C6">
        <w:rPr>
          <w:rFonts w:ascii="Trebuchet MS" w:hAnsi="Trebuchet MS" w:cs="Arial"/>
          <w:sz w:val="20"/>
          <w:szCs w:val="20"/>
        </w:rPr>
        <w:t>II</w:t>
      </w:r>
      <w:r w:rsidR="004D3142" w:rsidRPr="007337C6">
        <w:rPr>
          <w:rFonts w:ascii="Trebuchet MS" w:hAnsi="Trebuchet MS" w:cs="Arial"/>
          <w:sz w:val="20"/>
          <w:szCs w:val="20"/>
        </w:rPr>
        <w:t xml:space="preserve"> treatment and is offset b</w:t>
      </w:r>
      <w:r w:rsidR="00026148" w:rsidRPr="007337C6">
        <w:rPr>
          <w:rFonts w:ascii="Trebuchet MS" w:hAnsi="Trebuchet MS" w:cs="Arial"/>
          <w:sz w:val="20"/>
          <w:szCs w:val="20"/>
        </w:rPr>
        <w:t>y</w:t>
      </w:r>
      <w:r w:rsidR="004D3142" w:rsidRPr="007337C6">
        <w:rPr>
          <w:rFonts w:ascii="Trebuchet MS" w:hAnsi="Trebuchet MS" w:cs="Arial"/>
          <w:sz w:val="20"/>
          <w:szCs w:val="20"/>
        </w:rPr>
        <w:t xml:space="preserve"> the increase in the SCR referred to</w:t>
      </w:r>
      <w:r w:rsidR="00C06F24" w:rsidRPr="007337C6">
        <w:rPr>
          <w:rFonts w:ascii="Trebuchet MS" w:hAnsi="Trebuchet MS" w:cs="Arial"/>
          <w:sz w:val="20"/>
          <w:szCs w:val="20"/>
        </w:rPr>
        <w:t xml:space="preserve"> in section 4.1</w:t>
      </w:r>
      <w:r w:rsidR="004D3142" w:rsidRPr="007337C6">
        <w:rPr>
          <w:rFonts w:ascii="Trebuchet MS" w:hAnsi="Trebuchet MS" w:cs="Arial"/>
          <w:sz w:val="20"/>
          <w:szCs w:val="20"/>
        </w:rPr>
        <w:t xml:space="preserve">. </w:t>
      </w:r>
      <w:r w:rsidR="00026148" w:rsidRPr="007337C6">
        <w:rPr>
          <w:rFonts w:ascii="Trebuchet MS" w:hAnsi="Trebuchet MS" w:cs="Arial"/>
          <w:sz w:val="20"/>
          <w:szCs w:val="20"/>
        </w:rPr>
        <w:t>As noted in the original C</w:t>
      </w:r>
      <w:r w:rsidR="00082924">
        <w:rPr>
          <w:rFonts w:ascii="Trebuchet MS" w:hAnsi="Trebuchet MS" w:cs="Arial"/>
          <w:sz w:val="20"/>
          <w:szCs w:val="20"/>
        </w:rPr>
        <w:t xml:space="preserve">hief </w:t>
      </w:r>
      <w:r w:rsidR="00026148" w:rsidRPr="007337C6">
        <w:rPr>
          <w:rFonts w:ascii="Trebuchet MS" w:hAnsi="Trebuchet MS" w:cs="Arial"/>
          <w:sz w:val="20"/>
          <w:szCs w:val="20"/>
        </w:rPr>
        <w:t>A</w:t>
      </w:r>
      <w:r w:rsidR="00082924">
        <w:rPr>
          <w:rFonts w:ascii="Trebuchet MS" w:hAnsi="Trebuchet MS" w:cs="Arial"/>
          <w:sz w:val="20"/>
          <w:szCs w:val="20"/>
        </w:rPr>
        <w:t>ctuary</w:t>
      </w:r>
      <w:r w:rsidR="00026148" w:rsidRPr="007337C6">
        <w:rPr>
          <w:rFonts w:ascii="Trebuchet MS" w:hAnsi="Trebuchet MS" w:cs="Arial"/>
          <w:sz w:val="20"/>
          <w:szCs w:val="20"/>
        </w:rPr>
        <w:t xml:space="preserve"> report, the reprice clauses </w:t>
      </w:r>
      <w:r w:rsidR="00C06F24" w:rsidRPr="007337C6">
        <w:rPr>
          <w:rFonts w:ascii="Trebuchet MS" w:hAnsi="Trebuchet MS" w:cs="Arial"/>
          <w:sz w:val="20"/>
          <w:szCs w:val="20"/>
        </w:rPr>
        <w:t xml:space="preserve">that led to a review of the contract boundary assumptions </w:t>
      </w:r>
      <w:r w:rsidR="00026148" w:rsidRPr="007337C6">
        <w:rPr>
          <w:rFonts w:ascii="Trebuchet MS" w:hAnsi="Trebuchet MS" w:cs="Arial"/>
          <w:sz w:val="20"/>
          <w:szCs w:val="20"/>
        </w:rPr>
        <w:t xml:space="preserve">were under review at the time that the report was written, with the expected </w:t>
      </w:r>
      <w:r w:rsidR="00C06F24" w:rsidRPr="007337C6">
        <w:rPr>
          <w:rFonts w:ascii="Trebuchet MS" w:hAnsi="Trebuchet MS" w:cs="Arial"/>
          <w:sz w:val="20"/>
          <w:szCs w:val="20"/>
        </w:rPr>
        <w:t xml:space="preserve">overall </w:t>
      </w:r>
      <w:r w:rsidR="00026148" w:rsidRPr="007337C6">
        <w:rPr>
          <w:rFonts w:ascii="Trebuchet MS" w:hAnsi="Trebuchet MS" w:cs="Arial"/>
          <w:sz w:val="20"/>
          <w:szCs w:val="20"/>
        </w:rPr>
        <w:t xml:space="preserve">impact noted in that report to be less than £5m. </w:t>
      </w:r>
      <w:r w:rsidR="00023DD3" w:rsidRPr="007337C6">
        <w:rPr>
          <w:rFonts w:ascii="Trebuchet MS" w:hAnsi="Trebuchet MS" w:cs="Arial"/>
          <w:sz w:val="20"/>
          <w:szCs w:val="20"/>
        </w:rPr>
        <w:t>Note that the YE19 movement in OF and SCR from the initial report to the current supplementary report is mainly due to the contract boundary assumption as discussed in this section.</w:t>
      </w:r>
    </w:p>
    <w:p w14:paraId="78BFE1BC" w14:textId="3624105D" w:rsidR="0045516E" w:rsidRPr="007337C6" w:rsidRDefault="0045516E" w:rsidP="003C27AC">
      <w:pPr>
        <w:pStyle w:val="ListParagraph"/>
        <w:numPr>
          <w:ilvl w:val="0"/>
          <w:numId w:val="37"/>
        </w:numPr>
        <w:spacing w:after="0"/>
        <w:rPr>
          <w:rFonts w:ascii="Trebuchet MS" w:eastAsia="Times New Roman" w:hAnsi="Trebuchet MS"/>
        </w:rPr>
      </w:pPr>
      <w:r w:rsidRPr="007337C6">
        <w:rPr>
          <w:rFonts w:ascii="Trebuchet MS" w:hAnsi="Trebuchet MS" w:cs="Arial"/>
          <w:sz w:val="20"/>
          <w:szCs w:val="20"/>
        </w:rPr>
        <w:t xml:space="preserve">The negative </w:t>
      </w:r>
      <w:proofErr w:type="spellStart"/>
      <w:r w:rsidRPr="007337C6">
        <w:rPr>
          <w:rFonts w:ascii="Trebuchet MS" w:hAnsi="Trebuchet MS" w:cs="Arial"/>
          <w:sz w:val="20"/>
          <w:szCs w:val="20"/>
        </w:rPr>
        <w:t>TPs</w:t>
      </w:r>
      <w:proofErr w:type="spellEnd"/>
      <w:r w:rsidRPr="007337C6">
        <w:rPr>
          <w:rFonts w:ascii="Trebuchet MS" w:hAnsi="Trebuchet MS" w:cs="Arial"/>
          <w:sz w:val="20"/>
          <w:szCs w:val="20"/>
        </w:rPr>
        <w:t xml:space="preserve"> in AGIL </w:t>
      </w:r>
      <w:r w:rsidR="00BC0995">
        <w:rPr>
          <w:rFonts w:ascii="Trebuchet MS" w:hAnsi="Trebuchet MS" w:cs="Arial"/>
          <w:sz w:val="20"/>
          <w:szCs w:val="20"/>
        </w:rPr>
        <w:t>are</w:t>
      </w:r>
      <w:r w:rsidRPr="007337C6">
        <w:rPr>
          <w:rFonts w:ascii="Trebuchet MS" w:hAnsi="Trebuchet MS" w:cs="Arial"/>
          <w:sz w:val="20"/>
          <w:szCs w:val="20"/>
        </w:rPr>
        <w:t xml:space="preserve"> driven by the combination of </w:t>
      </w:r>
      <w:r w:rsidR="0032758A" w:rsidRPr="007337C6">
        <w:rPr>
          <w:rFonts w:ascii="Trebuchet MS" w:hAnsi="Trebuchet MS" w:cs="Arial"/>
          <w:sz w:val="20"/>
          <w:szCs w:val="20"/>
        </w:rPr>
        <w:t xml:space="preserve">specific </w:t>
      </w:r>
      <w:r w:rsidRPr="007337C6">
        <w:rPr>
          <w:rFonts w:ascii="Trebuchet MS" w:hAnsi="Trebuchet MS" w:cs="Arial"/>
          <w:sz w:val="20"/>
          <w:szCs w:val="20"/>
        </w:rPr>
        <w:t>features of AGIL’s portfolio:</w:t>
      </w:r>
    </w:p>
    <w:p w14:paraId="0502B057" w14:textId="30661B28" w:rsidR="0045516E" w:rsidRPr="007337C6" w:rsidRDefault="0045516E" w:rsidP="008C2D6E">
      <w:pPr>
        <w:numPr>
          <w:ilvl w:val="1"/>
          <w:numId w:val="37"/>
        </w:numPr>
        <w:spacing w:after="0" w:line="240" w:lineRule="auto"/>
        <w:rPr>
          <w:rFonts w:ascii="Trebuchet MS" w:eastAsia="Times New Roman" w:hAnsi="Trebuchet MS"/>
          <w:sz w:val="20"/>
          <w:szCs w:val="20"/>
        </w:rPr>
      </w:pPr>
      <w:r w:rsidRPr="007337C6">
        <w:rPr>
          <w:rFonts w:ascii="Trebuchet MS" w:eastAsia="Times New Roman" w:hAnsi="Trebuchet MS"/>
          <w:sz w:val="20"/>
          <w:szCs w:val="20"/>
        </w:rPr>
        <w:t>AGIL’s portfolio has a mixture of Mobile Phone insurance policies with monthly terms and Creditor policies with yearly terms</w:t>
      </w:r>
      <w:r w:rsidR="0032758A" w:rsidRPr="007337C6">
        <w:rPr>
          <w:rFonts w:ascii="Trebuchet MS" w:eastAsia="Times New Roman" w:hAnsi="Trebuchet MS"/>
          <w:sz w:val="20"/>
          <w:szCs w:val="20"/>
        </w:rPr>
        <w:t>.</w:t>
      </w:r>
    </w:p>
    <w:p w14:paraId="0F6F69D0" w14:textId="20949056" w:rsidR="0045516E" w:rsidRPr="007337C6" w:rsidRDefault="0045516E">
      <w:pPr>
        <w:numPr>
          <w:ilvl w:val="1"/>
          <w:numId w:val="37"/>
        </w:numPr>
        <w:spacing w:after="0" w:line="240" w:lineRule="auto"/>
        <w:rPr>
          <w:rFonts w:ascii="Trebuchet MS" w:eastAsia="Times New Roman" w:hAnsi="Trebuchet MS"/>
          <w:sz w:val="20"/>
          <w:szCs w:val="20"/>
        </w:rPr>
      </w:pPr>
      <w:r w:rsidRPr="007337C6">
        <w:rPr>
          <w:rFonts w:ascii="Trebuchet MS" w:eastAsia="Times New Roman" w:hAnsi="Trebuchet MS"/>
          <w:sz w:val="20"/>
          <w:szCs w:val="20"/>
        </w:rPr>
        <w:t>The monthly contracts</w:t>
      </w:r>
      <w:r w:rsidR="0032758A" w:rsidRPr="007337C6">
        <w:rPr>
          <w:rFonts w:ascii="Trebuchet MS" w:eastAsia="Times New Roman" w:hAnsi="Trebuchet MS"/>
          <w:sz w:val="20"/>
          <w:szCs w:val="20"/>
        </w:rPr>
        <w:t>, most of which stay in the UK after the Transfer,</w:t>
      </w:r>
      <w:r w:rsidRPr="007337C6">
        <w:rPr>
          <w:rFonts w:ascii="Trebuchet MS" w:eastAsia="Times New Roman" w:hAnsi="Trebuchet MS"/>
          <w:sz w:val="20"/>
          <w:szCs w:val="20"/>
        </w:rPr>
        <w:t xml:space="preserve"> have very low claims </w:t>
      </w:r>
      <w:r w:rsidR="00BC0995">
        <w:rPr>
          <w:rFonts w:ascii="Trebuchet MS" w:eastAsia="Times New Roman" w:hAnsi="Trebuchet MS"/>
          <w:sz w:val="20"/>
          <w:szCs w:val="20"/>
        </w:rPr>
        <w:t>P</w:t>
      </w:r>
      <w:r w:rsidRPr="007337C6">
        <w:rPr>
          <w:rFonts w:ascii="Trebuchet MS" w:eastAsia="Times New Roman" w:hAnsi="Trebuchet MS"/>
          <w:sz w:val="20"/>
          <w:szCs w:val="20"/>
        </w:rPr>
        <w:t>rovision</w:t>
      </w:r>
      <w:r w:rsidR="00BC0995">
        <w:rPr>
          <w:rFonts w:ascii="Trebuchet MS" w:eastAsia="Times New Roman" w:hAnsi="Trebuchet MS"/>
          <w:sz w:val="20"/>
          <w:szCs w:val="20"/>
        </w:rPr>
        <w:t>s</w:t>
      </w:r>
      <w:r w:rsidRPr="007337C6">
        <w:rPr>
          <w:rFonts w:ascii="Trebuchet MS" w:eastAsia="Times New Roman" w:hAnsi="Trebuchet MS"/>
          <w:sz w:val="20"/>
          <w:szCs w:val="20"/>
        </w:rPr>
        <w:t xml:space="preserve"> (mobile phone claims </w:t>
      </w:r>
      <w:r w:rsidR="0032758A" w:rsidRPr="007337C6">
        <w:rPr>
          <w:rFonts w:ascii="Trebuchet MS" w:eastAsia="Times New Roman" w:hAnsi="Trebuchet MS"/>
          <w:sz w:val="20"/>
          <w:szCs w:val="20"/>
        </w:rPr>
        <w:t>have</w:t>
      </w:r>
      <w:r w:rsidRPr="007337C6">
        <w:rPr>
          <w:rFonts w:ascii="Trebuchet MS" w:eastAsia="Times New Roman" w:hAnsi="Trebuchet MS"/>
          <w:sz w:val="20"/>
          <w:szCs w:val="20"/>
        </w:rPr>
        <w:t xml:space="preserve"> short tail risk with very low </w:t>
      </w:r>
      <w:proofErr w:type="spellStart"/>
      <w:r w:rsidRPr="007337C6">
        <w:rPr>
          <w:rFonts w:ascii="Trebuchet MS" w:eastAsia="Times New Roman" w:hAnsi="Trebuchet MS"/>
          <w:sz w:val="20"/>
          <w:szCs w:val="20"/>
        </w:rPr>
        <w:t>IBNR</w:t>
      </w:r>
      <w:proofErr w:type="spellEnd"/>
      <w:r w:rsidRPr="007337C6">
        <w:rPr>
          <w:rFonts w:ascii="Trebuchet MS" w:eastAsia="Times New Roman" w:hAnsi="Trebuchet MS"/>
          <w:sz w:val="20"/>
          <w:szCs w:val="20"/>
        </w:rPr>
        <w:t xml:space="preserve">) and large </w:t>
      </w:r>
      <w:r w:rsidR="0032758A" w:rsidRPr="007337C6">
        <w:rPr>
          <w:rFonts w:ascii="Trebuchet MS" w:eastAsia="Times New Roman" w:hAnsi="Trebuchet MS"/>
          <w:sz w:val="20"/>
          <w:szCs w:val="20"/>
        </w:rPr>
        <w:t xml:space="preserve">future </w:t>
      </w:r>
      <w:r w:rsidRPr="007337C6">
        <w:rPr>
          <w:rFonts w:ascii="Trebuchet MS" w:eastAsia="Times New Roman" w:hAnsi="Trebuchet MS"/>
          <w:sz w:val="20"/>
          <w:szCs w:val="20"/>
        </w:rPr>
        <w:t xml:space="preserve">premium income, hence </w:t>
      </w:r>
      <w:r w:rsidR="00BC0995">
        <w:rPr>
          <w:rFonts w:ascii="Trebuchet MS" w:eastAsia="Times New Roman" w:hAnsi="Trebuchet MS"/>
          <w:sz w:val="20"/>
          <w:szCs w:val="20"/>
        </w:rPr>
        <w:t xml:space="preserve">the </w:t>
      </w:r>
      <w:r w:rsidRPr="007337C6">
        <w:rPr>
          <w:rFonts w:ascii="Trebuchet MS" w:eastAsia="Times New Roman" w:hAnsi="Trebuchet MS"/>
          <w:sz w:val="20"/>
          <w:szCs w:val="20"/>
        </w:rPr>
        <w:t xml:space="preserve">low level of </w:t>
      </w:r>
      <w:proofErr w:type="spellStart"/>
      <w:r w:rsidRPr="007337C6">
        <w:rPr>
          <w:rFonts w:ascii="Trebuchet MS" w:eastAsia="Times New Roman" w:hAnsi="Trebuchet MS"/>
          <w:sz w:val="20"/>
          <w:szCs w:val="20"/>
        </w:rPr>
        <w:t>TPs</w:t>
      </w:r>
      <w:proofErr w:type="spellEnd"/>
      <w:r w:rsidRPr="007337C6">
        <w:rPr>
          <w:rFonts w:ascii="Trebuchet MS" w:eastAsia="Times New Roman" w:hAnsi="Trebuchet MS"/>
          <w:sz w:val="20"/>
          <w:szCs w:val="20"/>
        </w:rPr>
        <w:t xml:space="preserve"> net of future premium income (allowing for contract boundary). However, the SCR is relatively large due to the high earned premium volume measure as used in the Standard Formula calculation.</w:t>
      </w:r>
    </w:p>
    <w:p w14:paraId="4DA17606" w14:textId="7431010E" w:rsidR="0045516E" w:rsidRPr="008C2D6E" w:rsidRDefault="0045516E" w:rsidP="003C27AC">
      <w:pPr>
        <w:numPr>
          <w:ilvl w:val="1"/>
          <w:numId w:val="37"/>
        </w:numPr>
        <w:spacing w:after="0" w:line="240" w:lineRule="auto"/>
        <w:rPr>
          <w:rFonts w:ascii="Trebuchet MS" w:eastAsia="Times New Roman" w:hAnsi="Trebuchet MS"/>
          <w:sz w:val="20"/>
          <w:szCs w:val="20"/>
        </w:rPr>
      </w:pPr>
      <w:r w:rsidRPr="007337C6">
        <w:rPr>
          <w:rFonts w:ascii="Trebuchet MS" w:eastAsia="Times New Roman" w:hAnsi="Trebuchet MS"/>
          <w:sz w:val="20"/>
          <w:szCs w:val="20"/>
        </w:rPr>
        <w:t xml:space="preserve">When </w:t>
      </w:r>
      <w:r w:rsidR="00BC0995">
        <w:rPr>
          <w:rFonts w:ascii="Trebuchet MS" w:eastAsia="Times New Roman" w:hAnsi="Trebuchet MS"/>
          <w:sz w:val="20"/>
          <w:szCs w:val="20"/>
        </w:rPr>
        <w:t xml:space="preserve">the </w:t>
      </w:r>
      <w:r w:rsidRPr="007337C6">
        <w:rPr>
          <w:rFonts w:ascii="Trebuchet MS" w:eastAsia="Times New Roman" w:hAnsi="Trebuchet MS"/>
          <w:sz w:val="20"/>
          <w:szCs w:val="20"/>
        </w:rPr>
        <w:t xml:space="preserve">contract boundary </w:t>
      </w:r>
      <w:r w:rsidR="0032758A" w:rsidRPr="007337C6">
        <w:rPr>
          <w:rFonts w:ascii="Trebuchet MS" w:eastAsia="Times New Roman" w:hAnsi="Trebuchet MS"/>
          <w:sz w:val="20"/>
          <w:szCs w:val="20"/>
        </w:rPr>
        <w:t xml:space="preserve">span </w:t>
      </w:r>
      <w:r w:rsidRPr="007337C6">
        <w:rPr>
          <w:rFonts w:ascii="Trebuchet MS" w:eastAsia="Times New Roman" w:hAnsi="Trebuchet MS"/>
          <w:sz w:val="20"/>
          <w:szCs w:val="20"/>
        </w:rPr>
        <w:t xml:space="preserve">is increased </w:t>
      </w:r>
      <w:r w:rsidR="00BC0995">
        <w:rPr>
          <w:rFonts w:ascii="Trebuchet MS" w:eastAsia="Times New Roman" w:hAnsi="Trebuchet MS"/>
          <w:sz w:val="20"/>
          <w:szCs w:val="20"/>
        </w:rPr>
        <w:t>(</w:t>
      </w:r>
      <w:r w:rsidRPr="007337C6">
        <w:rPr>
          <w:rFonts w:ascii="Trebuchet MS" w:eastAsia="Times New Roman" w:hAnsi="Trebuchet MS"/>
          <w:sz w:val="20"/>
          <w:szCs w:val="20"/>
        </w:rPr>
        <w:t>as it has been the case for a major UK scheme</w:t>
      </w:r>
      <w:r w:rsidR="0032758A" w:rsidRPr="007337C6">
        <w:rPr>
          <w:rFonts w:ascii="Trebuchet MS" w:eastAsia="Times New Roman" w:hAnsi="Trebuchet MS"/>
          <w:sz w:val="20"/>
          <w:szCs w:val="20"/>
        </w:rPr>
        <w:t xml:space="preserve"> that has a low loss ratio</w:t>
      </w:r>
      <w:r w:rsidR="00BC0995">
        <w:rPr>
          <w:rFonts w:ascii="Trebuchet MS" w:eastAsia="Times New Roman" w:hAnsi="Trebuchet MS"/>
          <w:sz w:val="20"/>
          <w:szCs w:val="20"/>
        </w:rPr>
        <w:t>)</w:t>
      </w:r>
      <w:r w:rsidR="0032758A" w:rsidRPr="007337C6">
        <w:rPr>
          <w:rFonts w:ascii="Trebuchet MS" w:eastAsia="Times New Roman" w:hAnsi="Trebuchet MS"/>
          <w:sz w:val="20"/>
          <w:szCs w:val="20"/>
        </w:rPr>
        <w:t xml:space="preserve">, it allows for more future profit in the </w:t>
      </w:r>
      <w:proofErr w:type="spellStart"/>
      <w:r w:rsidR="0032758A" w:rsidRPr="007337C6">
        <w:rPr>
          <w:rFonts w:ascii="Trebuchet MS" w:eastAsia="Times New Roman" w:hAnsi="Trebuchet MS"/>
          <w:sz w:val="20"/>
          <w:szCs w:val="20"/>
        </w:rPr>
        <w:t>TPs</w:t>
      </w:r>
      <w:proofErr w:type="spellEnd"/>
      <w:r w:rsidR="0032758A" w:rsidRPr="007337C6">
        <w:rPr>
          <w:rFonts w:ascii="Trebuchet MS" w:eastAsia="Times New Roman" w:hAnsi="Trebuchet MS"/>
          <w:sz w:val="20"/>
          <w:szCs w:val="20"/>
        </w:rPr>
        <w:t>. T</w:t>
      </w:r>
      <w:r w:rsidRPr="007337C6">
        <w:rPr>
          <w:rFonts w:ascii="Trebuchet MS" w:eastAsia="Times New Roman" w:hAnsi="Trebuchet MS"/>
          <w:sz w:val="20"/>
          <w:szCs w:val="20"/>
        </w:rPr>
        <w:t xml:space="preserve">he future premium income becomes higher and the Premium provision becomes more negative and drives the total </w:t>
      </w:r>
      <w:proofErr w:type="spellStart"/>
      <w:r w:rsidRPr="007337C6">
        <w:rPr>
          <w:rFonts w:ascii="Trebuchet MS" w:eastAsia="Times New Roman" w:hAnsi="Trebuchet MS"/>
          <w:sz w:val="20"/>
          <w:szCs w:val="20"/>
        </w:rPr>
        <w:t>TPs</w:t>
      </w:r>
      <w:proofErr w:type="spellEnd"/>
      <w:r w:rsidRPr="007337C6">
        <w:rPr>
          <w:rFonts w:ascii="Trebuchet MS" w:eastAsia="Times New Roman" w:hAnsi="Trebuchet MS"/>
          <w:sz w:val="20"/>
          <w:szCs w:val="20"/>
        </w:rPr>
        <w:t xml:space="preserve"> down. Significantly negative Premium Provision </w:t>
      </w:r>
      <w:r w:rsidR="00BC0995">
        <w:rPr>
          <w:rFonts w:ascii="Trebuchet MS" w:eastAsia="Times New Roman" w:hAnsi="Trebuchet MS"/>
          <w:sz w:val="20"/>
          <w:szCs w:val="20"/>
        </w:rPr>
        <w:t xml:space="preserve">is </w:t>
      </w:r>
      <w:r w:rsidRPr="007337C6">
        <w:rPr>
          <w:rFonts w:ascii="Trebuchet MS" w:eastAsia="Times New Roman" w:hAnsi="Trebuchet MS"/>
          <w:sz w:val="20"/>
          <w:szCs w:val="20"/>
        </w:rPr>
        <w:t xml:space="preserve">due to longer contract boundary span </w:t>
      </w:r>
      <w:r w:rsidR="0032758A" w:rsidRPr="007337C6">
        <w:rPr>
          <w:rFonts w:ascii="Trebuchet MS" w:eastAsia="Times New Roman" w:hAnsi="Trebuchet MS"/>
          <w:sz w:val="20"/>
          <w:szCs w:val="20"/>
        </w:rPr>
        <w:t xml:space="preserve">on profitable portfolio, </w:t>
      </w:r>
      <w:r w:rsidRPr="007337C6">
        <w:rPr>
          <w:rFonts w:ascii="Trebuchet MS" w:eastAsia="Times New Roman" w:hAnsi="Trebuchet MS"/>
          <w:sz w:val="20"/>
          <w:szCs w:val="20"/>
        </w:rPr>
        <w:t xml:space="preserve">combined with low Claims Provisions makes the total </w:t>
      </w:r>
      <w:proofErr w:type="spellStart"/>
      <w:r w:rsidRPr="007337C6">
        <w:rPr>
          <w:rFonts w:ascii="Trebuchet MS" w:eastAsia="Times New Roman" w:hAnsi="Trebuchet MS"/>
          <w:sz w:val="20"/>
          <w:szCs w:val="20"/>
        </w:rPr>
        <w:t>TPs</w:t>
      </w:r>
      <w:proofErr w:type="spellEnd"/>
      <w:r w:rsidRPr="007337C6">
        <w:rPr>
          <w:rFonts w:ascii="Trebuchet MS" w:eastAsia="Times New Roman" w:hAnsi="Trebuchet MS"/>
          <w:sz w:val="20"/>
          <w:szCs w:val="20"/>
        </w:rPr>
        <w:t xml:space="preserve"> negative.</w:t>
      </w:r>
    </w:p>
    <w:p w14:paraId="2957388E" w14:textId="03B19D29" w:rsidR="004B653D" w:rsidRPr="007337C6" w:rsidRDefault="00E90C22" w:rsidP="0054651C">
      <w:pPr>
        <w:pStyle w:val="ListParagraph"/>
        <w:numPr>
          <w:ilvl w:val="0"/>
          <w:numId w:val="27"/>
        </w:numPr>
        <w:rPr>
          <w:rFonts w:ascii="Trebuchet MS" w:hAnsi="Trebuchet MS" w:cs="Arial"/>
          <w:sz w:val="20"/>
          <w:szCs w:val="20"/>
        </w:rPr>
      </w:pPr>
      <w:r w:rsidRPr="007337C6">
        <w:rPr>
          <w:rFonts w:ascii="Trebuchet MS" w:hAnsi="Trebuchet MS" w:cs="Arial"/>
          <w:sz w:val="20"/>
          <w:szCs w:val="20"/>
        </w:rPr>
        <w:t>In the initial report the matching was on the GAAP basis. This change was made to align with the fair valuation at arm’s length on GAAP basis.</w:t>
      </w:r>
    </w:p>
    <w:p w14:paraId="4CB014CD" w14:textId="170262A9" w:rsidR="008B7C6A" w:rsidRPr="007337C6" w:rsidRDefault="00AD3A8B" w:rsidP="0083430F">
      <w:pPr>
        <w:pStyle w:val="ListParagraph"/>
        <w:numPr>
          <w:ilvl w:val="0"/>
          <w:numId w:val="27"/>
        </w:numPr>
        <w:rPr>
          <w:rFonts w:ascii="Trebuchet MS" w:hAnsi="Trebuchet MS" w:cs="Arial"/>
          <w:sz w:val="20"/>
          <w:szCs w:val="20"/>
        </w:rPr>
      </w:pPr>
      <w:r w:rsidRPr="007337C6">
        <w:rPr>
          <w:rFonts w:ascii="Trebuchet MS" w:hAnsi="Trebuchet MS" w:cs="Arial"/>
          <w:sz w:val="20"/>
          <w:szCs w:val="20"/>
        </w:rPr>
        <w:t xml:space="preserve">Most of the liabilities of AGIL will be transferred to AEI. On </w:t>
      </w:r>
      <w:r w:rsidR="00E90C22" w:rsidRPr="007337C6">
        <w:rPr>
          <w:rFonts w:ascii="Trebuchet MS" w:hAnsi="Trebuchet MS" w:cs="Arial"/>
          <w:sz w:val="20"/>
          <w:szCs w:val="20"/>
        </w:rPr>
        <w:t>Solvency II</w:t>
      </w:r>
      <w:r w:rsidRPr="007337C6">
        <w:rPr>
          <w:rFonts w:ascii="Trebuchet MS" w:hAnsi="Trebuchet MS" w:cs="Arial"/>
          <w:sz w:val="20"/>
          <w:szCs w:val="20"/>
        </w:rPr>
        <w:t xml:space="preserve"> basis, the same amounts of assets will be transferred, making a nil profit transaction. However, on</w:t>
      </w:r>
      <w:r w:rsidR="00BC0995">
        <w:rPr>
          <w:rFonts w:ascii="Trebuchet MS" w:hAnsi="Trebuchet MS" w:cs="Arial"/>
          <w:sz w:val="20"/>
          <w:szCs w:val="20"/>
        </w:rPr>
        <w:t xml:space="preserve"> a</w:t>
      </w:r>
      <w:r w:rsidRPr="007337C6">
        <w:rPr>
          <w:rFonts w:ascii="Trebuchet MS" w:hAnsi="Trebuchet MS" w:cs="Arial"/>
          <w:sz w:val="20"/>
          <w:szCs w:val="20"/>
        </w:rPr>
        <w:t xml:space="preserve"> </w:t>
      </w:r>
      <w:r w:rsidR="00E90C22" w:rsidRPr="007337C6">
        <w:rPr>
          <w:rFonts w:ascii="Trebuchet MS" w:hAnsi="Trebuchet MS" w:cs="Arial"/>
          <w:sz w:val="20"/>
          <w:szCs w:val="20"/>
        </w:rPr>
        <w:t>GAAP</w:t>
      </w:r>
      <w:r w:rsidRPr="007337C6">
        <w:rPr>
          <w:rFonts w:ascii="Trebuchet MS" w:hAnsi="Trebuchet MS" w:cs="Arial"/>
          <w:sz w:val="20"/>
          <w:szCs w:val="20"/>
        </w:rPr>
        <w:t xml:space="preserve"> basis, the transaction has generated a </w:t>
      </w:r>
      <w:r w:rsidR="00983E97" w:rsidRPr="007337C6">
        <w:rPr>
          <w:rFonts w:ascii="Trebuchet MS" w:hAnsi="Trebuchet MS" w:cs="Arial"/>
          <w:sz w:val="20"/>
          <w:szCs w:val="20"/>
        </w:rPr>
        <w:t>profit</w:t>
      </w:r>
      <w:r w:rsidRPr="007337C6">
        <w:rPr>
          <w:rFonts w:ascii="Trebuchet MS" w:hAnsi="Trebuchet MS" w:cs="Arial"/>
          <w:sz w:val="20"/>
          <w:szCs w:val="20"/>
        </w:rPr>
        <w:t xml:space="preserve"> of £1.1m for </w:t>
      </w:r>
      <w:r w:rsidR="00023DD3" w:rsidRPr="007337C6">
        <w:rPr>
          <w:rFonts w:ascii="Trebuchet MS" w:hAnsi="Trebuchet MS" w:cs="Arial"/>
          <w:sz w:val="20"/>
          <w:szCs w:val="20"/>
        </w:rPr>
        <w:t>AGIL</w:t>
      </w:r>
      <w:r w:rsidRPr="007337C6">
        <w:rPr>
          <w:rFonts w:ascii="Trebuchet MS" w:hAnsi="Trebuchet MS" w:cs="Arial"/>
          <w:sz w:val="20"/>
          <w:szCs w:val="20"/>
        </w:rPr>
        <w:t xml:space="preserve">, and </w:t>
      </w:r>
      <w:r w:rsidR="00983E97" w:rsidRPr="007337C6">
        <w:rPr>
          <w:rFonts w:ascii="Trebuchet MS" w:hAnsi="Trebuchet MS" w:cs="Arial"/>
          <w:sz w:val="20"/>
          <w:szCs w:val="20"/>
        </w:rPr>
        <w:t xml:space="preserve">on Solvency II basis, </w:t>
      </w:r>
      <w:r w:rsidRPr="007337C6">
        <w:rPr>
          <w:rFonts w:ascii="Trebuchet MS" w:hAnsi="Trebuchet MS" w:cs="Arial"/>
          <w:sz w:val="20"/>
          <w:szCs w:val="20"/>
        </w:rPr>
        <w:t xml:space="preserve">Own Funds have </w:t>
      </w:r>
      <w:r w:rsidR="00983E97" w:rsidRPr="007337C6">
        <w:rPr>
          <w:rFonts w:ascii="Trebuchet MS" w:hAnsi="Trebuchet MS" w:cs="Arial"/>
          <w:sz w:val="20"/>
          <w:szCs w:val="20"/>
        </w:rPr>
        <w:t>in</w:t>
      </w:r>
      <w:r w:rsidRPr="007337C6">
        <w:rPr>
          <w:rFonts w:ascii="Trebuchet MS" w:hAnsi="Trebuchet MS" w:cs="Arial"/>
          <w:sz w:val="20"/>
          <w:szCs w:val="20"/>
        </w:rPr>
        <w:t>creased from £</w:t>
      </w:r>
      <w:r w:rsidR="00983E97" w:rsidRPr="007337C6">
        <w:rPr>
          <w:rFonts w:ascii="Trebuchet MS" w:hAnsi="Trebuchet MS" w:cs="Arial"/>
          <w:sz w:val="20"/>
          <w:szCs w:val="20"/>
        </w:rPr>
        <w:t>94.9</w:t>
      </w:r>
      <w:r w:rsidRPr="007337C6">
        <w:rPr>
          <w:rFonts w:ascii="Trebuchet MS" w:hAnsi="Trebuchet MS" w:cs="Arial"/>
          <w:sz w:val="20"/>
          <w:szCs w:val="20"/>
        </w:rPr>
        <w:t>m to £</w:t>
      </w:r>
      <w:r w:rsidR="00983E97" w:rsidRPr="007337C6">
        <w:rPr>
          <w:rFonts w:ascii="Trebuchet MS" w:hAnsi="Trebuchet MS" w:cs="Arial"/>
          <w:sz w:val="20"/>
          <w:szCs w:val="20"/>
        </w:rPr>
        <w:t>105.0</w:t>
      </w:r>
      <w:r w:rsidRPr="007337C6">
        <w:rPr>
          <w:rFonts w:ascii="Trebuchet MS" w:hAnsi="Trebuchet MS" w:cs="Arial"/>
          <w:sz w:val="20"/>
          <w:szCs w:val="20"/>
        </w:rPr>
        <w:t xml:space="preserve">m while the SCR has </w:t>
      </w:r>
      <w:r w:rsidR="00983E97" w:rsidRPr="007337C6">
        <w:rPr>
          <w:rFonts w:ascii="Trebuchet MS" w:hAnsi="Trebuchet MS" w:cs="Arial"/>
          <w:sz w:val="20"/>
          <w:szCs w:val="20"/>
        </w:rPr>
        <w:t>de</w:t>
      </w:r>
      <w:r w:rsidRPr="007337C6">
        <w:rPr>
          <w:rFonts w:ascii="Trebuchet MS" w:hAnsi="Trebuchet MS" w:cs="Arial"/>
          <w:sz w:val="20"/>
          <w:szCs w:val="20"/>
        </w:rPr>
        <w:t>creased from £</w:t>
      </w:r>
      <w:r w:rsidR="00983E97" w:rsidRPr="007337C6">
        <w:rPr>
          <w:rFonts w:ascii="Trebuchet MS" w:hAnsi="Trebuchet MS" w:cs="Arial"/>
          <w:sz w:val="20"/>
          <w:szCs w:val="20"/>
        </w:rPr>
        <w:t>63.4</w:t>
      </w:r>
      <w:r w:rsidRPr="007337C6">
        <w:rPr>
          <w:rFonts w:ascii="Trebuchet MS" w:hAnsi="Trebuchet MS" w:cs="Arial"/>
          <w:sz w:val="20"/>
          <w:szCs w:val="20"/>
        </w:rPr>
        <w:t>m to £5</w:t>
      </w:r>
      <w:r w:rsidR="00983E97" w:rsidRPr="007337C6">
        <w:rPr>
          <w:rFonts w:ascii="Trebuchet MS" w:hAnsi="Trebuchet MS" w:cs="Arial"/>
          <w:sz w:val="20"/>
          <w:szCs w:val="20"/>
        </w:rPr>
        <w:t>8.7</w:t>
      </w:r>
      <w:r w:rsidRPr="007337C6">
        <w:rPr>
          <w:rFonts w:ascii="Trebuchet MS" w:hAnsi="Trebuchet MS" w:cs="Arial"/>
          <w:sz w:val="20"/>
          <w:szCs w:val="20"/>
        </w:rPr>
        <w:t>m, making the SCR ratio improve from 1</w:t>
      </w:r>
      <w:r w:rsidR="00983E97" w:rsidRPr="007337C6">
        <w:rPr>
          <w:rFonts w:ascii="Trebuchet MS" w:hAnsi="Trebuchet MS" w:cs="Arial"/>
          <w:sz w:val="20"/>
          <w:szCs w:val="20"/>
        </w:rPr>
        <w:t>50</w:t>
      </w:r>
      <w:r w:rsidRPr="007337C6">
        <w:rPr>
          <w:rFonts w:ascii="Trebuchet MS" w:hAnsi="Trebuchet MS" w:cs="Arial"/>
          <w:sz w:val="20"/>
          <w:szCs w:val="20"/>
        </w:rPr>
        <w:t>% to 1</w:t>
      </w:r>
      <w:r w:rsidR="00983E97" w:rsidRPr="007337C6">
        <w:rPr>
          <w:rFonts w:ascii="Trebuchet MS" w:hAnsi="Trebuchet MS" w:cs="Arial"/>
          <w:sz w:val="20"/>
          <w:szCs w:val="20"/>
        </w:rPr>
        <w:t>79</w:t>
      </w:r>
      <w:r w:rsidRPr="007337C6">
        <w:rPr>
          <w:rFonts w:ascii="Trebuchet MS" w:hAnsi="Trebuchet MS" w:cs="Arial"/>
          <w:sz w:val="20"/>
          <w:szCs w:val="20"/>
        </w:rPr>
        <w:t>%</w:t>
      </w:r>
      <w:r w:rsidR="00780280" w:rsidRPr="007337C6">
        <w:rPr>
          <w:rFonts w:ascii="Trebuchet MS" w:hAnsi="Trebuchet MS" w:cs="Arial"/>
          <w:sz w:val="20"/>
          <w:szCs w:val="20"/>
        </w:rPr>
        <w:t xml:space="preserve"> (this reduction </w:t>
      </w:r>
      <w:r w:rsidR="008C2D6E">
        <w:rPr>
          <w:rFonts w:ascii="Trebuchet MS" w:hAnsi="Trebuchet MS" w:cs="Arial"/>
          <w:sz w:val="20"/>
          <w:szCs w:val="20"/>
        </w:rPr>
        <w:t xml:space="preserve">in SCR </w:t>
      </w:r>
      <w:r w:rsidR="00780280" w:rsidRPr="007337C6">
        <w:rPr>
          <w:rFonts w:ascii="Trebuchet MS" w:hAnsi="Trebuchet MS" w:cs="Arial"/>
          <w:sz w:val="20"/>
          <w:szCs w:val="20"/>
        </w:rPr>
        <w:t xml:space="preserve">excludes ~£3m for materiality from elimination of past premium for EU-27 business from the </w:t>
      </w:r>
      <w:r w:rsidR="00023DD3" w:rsidRPr="007337C6">
        <w:rPr>
          <w:rFonts w:ascii="Trebuchet MS" w:hAnsi="Trebuchet MS" w:cs="Arial"/>
          <w:sz w:val="20"/>
          <w:szCs w:val="20"/>
        </w:rPr>
        <w:t>AGIL</w:t>
      </w:r>
      <w:r w:rsidR="00780280" w:rsidRPr="007337C6">
        <w:rPr>
          <w:rFonts w:ascii="Trebuchet MS" w:hAnsi="Trebuchet MS" w:cs="Arial"/>
          <w:sz w:val="20"/>
          <w:szCs w:val="20"/>
        </w:rPr>
        <w:t xml:space="preserve"> SCR in line with Solvency</w:t>
      </w:r>
      <w:r w:rsidR="00BC0995">
        <w:rPr>
          <w:rFonts w:ascii="Trebuchet MS" w:hAnsi="Trebuchet MS" w:cs="Arial"/>
          <w:sz w:val="20"/>
          <w:szCs w:val="20"/>
        </w:rPr>
        <w:t xml:space="preserve"> II</w:t>
      </w:r>
      <w:r w:rsidR="00780280" w:rsidRPr="007337C6">
        <w:rPr>
          <w:rFonts w:ascii="Trebuchet MS" w:hAnsi="Trebuchet MS" w:cs="Arial"/>
          <w:sz w:val="20"/>
          <w:szCs w:val="20"/>
        </w:rPr>
        <w:t xml:space="preserve"> Article 116</w:t>
      </w:r>
      <w:r w:rsidR="00135333">
        <w:rPr>
          <w:rFonts w:ascii="Trebuchet MS" w:hAnsi="Trebuchet MS" w:cs="Arial"/>
          <w:sz w:val="20"/>
          <w:szCs w:val="20"/>
        </w:rPr>
        <w:t xml:space="preserve"> of the Delegated Acts</w:t>
      </w:r>
      <w:r w:rsidR="00780280" w:rsidRPr="007337C6">
        <w:rPr>
          <w:rFonts w:ascii="Trebuchet MS" w:hAnsi="Trebuchet MS" w:cs="Arial"/>
          <w:sz w:val="20"/>
          <w:szCs w:val="20"/>
        </w:rPr>
        <w:t>)</w:t>
      </w:r>
      <w:r w:rsidRPr="007337C6">
        <w:rPr>
          <w:rFonts w:ascii="Trebuchet MS" w:hAnsi="Trebuchet MS" w:cs="Arial"/>
          <w:sz w:val="20"/>
          <w:szCs w:val="20"/>
        </w:rPr>
        <w:t>.</w:t>
      </w:r>
      <w:r w:rsidR="00E90C22" w:rsidRPr="007337C6">
        <w:rPr>
          <w:rFonts w:ascii="Trebuchet MS" w:hAnsi="Trebuchet MS" w:cs="Arial"/>
          <w:sz w:val="20"/>
          <w:szCs w:val="20"/>
        </w:rPr>
        <w:t xml:space="preserve"> The SCR ratio was 148% </w:t>
      </w:r>
      <w:r w:rsidR="00DD671C" w:rsidRPr="007337C6">
        <w:rPr>
          <w:rFonts w:ascii="Trebuchet MS" w:hAnsi="Trebuchet MS" w:cs="Arial"/>
          <w:sz w:val="20"/>
          <w:szCs w:val="20"/>
        </w:rPr>
        <w:t>pre-Transfer</w:t>
      </w:r>
      <w:r w:rsidR="00E90C22" w:rsidRPr="007337C6">
        <w:rPr>
          <w:rFonts w:ascii="Trebuchet MS" w:hAnsi="Trebuchet MS" w:cs="Arial"/>
          <w:sz w:val="20"/>
          <w:szCs w:val="20"/>
        </w:rPr>
        <w:t xml:space="preserve"> and 158% post Transfer in the initial report.</w:t>
      </w:r>
    </w:p>
    <w:p w14:paraId="20F3D6FA" w14:textId="518FA883" w:rsidR="00470861" w:rsidRPr="007337C6" w:rsidRDefault="00470861" w:rsidP="0083430F">
      <w:pPr>
        <w:rPr>
          <w:rFonts w:ascii="Trebuchet MS" w:hAnsi="Trebuchet MS" w:cs="Arial"/>
          <w:sz w:val="20"/>
          <w:szCs w:val="20"/>
        </w:rPr>
      </w:pPr>
      <w:r w:rsidRPr="00470861">
        <w:rPr>
          <w:noProof/>
          <w:lang w:eastAsia="en-GB"/>
        </w:rPr>
        <w:lastRenderedPageBreak/>
        <w:drawing>
          <wp:inline distT="0" distB="0" distL="0" distR="0" wp14:anchorId="5D792A38" wp14:editId="40D6BA4B">
            <wp:extent cx="6645910" cy="2829169"/>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69609" cy="2839258"/>
                    </a:xfrm>
                    <a:prstGeom prst="rect">
                      <a:avLst/>
                    </a:prstGeom>
                    <a:noFill/>
                    <a:ln>
                      <a:noFill/>
                    </a:ln>
                  </pic:spPr>
                </pic:pic>
              </a:graphicData>
            </a:graphic>
          </wp:inline>
        </w:drawing>
      </w:r>
    </w:p>
    <w:p w14:paraId="07A2CC62" w14:textId="05BF084B" w:rsidR="00E05921" w:rsidRDefault="00E05921" w:rsidP="004B653D">
      <w:pPr>
        <w:pStyle w:val="ListParagraph"/>
        <w:numPr>
          <w:ilvl w:val="0"/>
          <w:numId w:val="27"/>
        </w:numPr>
        <w:rPr>
          <w:rFonts w:ascii="Trebuchet MS" w:hAnsi="Trebuchet MS" w:cs="Arial"/>
          <w:sz w:val="20"/>
          <w:szCs w:val="20"/>
        </w:rPr>
      </w:pPr>
      <w:r w:rsidRPr="007337C6">
        <w:rPr>
          <w:rFonts w:ascii="Trebuchet MS" w:hAnsi="Trebuchet MS" w:cs="Arial"/>
          <w:sz w:val="20"/>
          <w:szCs w:val="20"/>
        </w:rPr>
        <w:t xml:space="preserve">The </w:t>
      </w:r>
      <w:r w:rsidR="00F1416F" w:rsidRPr="007337C6">
        <w:rPr>
          <w:rFonts w:ascii="Trebuchet MS" w:hAnsi="Trebuchet MS" w:cs="Arial"/>
          <w:sz w:val="20"/>
          <w:szCs w:val="20"/>
        </w:rPr>
        <w:t xml:space="preserve">fair value of the </w:t>
      </w:r>
      <w:r w:rsidRPr="007337C6">
        <w:rPr>
          <w:rFonts w:ascii="Trebuchet MS" w:hAnsi="Trebuchet MS" w:cs="Arial"/>
          <w:sz w:val="20"/>
          <w:szCs w:val="20"/>
        </w:rPr>
        <w:t xml:space="preserve">sale of the EU portfolio of LGI to AEI has been </w:t>
      </w:r>
      <w:r w:rsidR="00F1416F" w:rsidRPr="007337C6">
        <w:rPr>
          <w:rFonts w:ascii="Trebuchet MS" w:hAnsi="Trebuchet MS" w:cs="Arial"/>
          <w:sz w:val="20"/>
          <w:szCs w:val="20"/>
        </w:rPr>
        <w:t>estimated</w:t>
      </w:r>
      <w:r w:rsidRPr="007337C6">
        <w:rPr>
          <w:rFonts w:ascii="Trebuchet MS" w:hAnsi="Trebuchet MS" w:cs="Arial"/>
          <w:sz w:val="20"/>
          <w:szCs w:val="20"/>
        </w:rPr>
        <w:t xml:space="preserve"> at</w:t>
      </w:r>
      <w:r w:rsidR="00F1416F" w:rsidRPr="007337C6">
        <w:rPr>
          <w:rFonts w:ascii="Trebuchet MS" w:hAnsi="Trebuchet MS" w:cs="Arial"/>
          <w:sz w:val="20"/>
          <w:szCs w:val="20"/>
        </w:rPr>
        <w:t xml:space="preserve"> negative</w:t>
      </w:r>
      <w:r w:rsidRPr="007337C6">
        <w:rPr>
          <w:rFonts w:ascii="Trebuchet MS" w:hAnsi="Trebuchet MS" w:cs="Arial"/>
          <w:sz w:val="20"/>
          <w:szCs w:val="20"/>
        </w:rPr>
        <w:t xml:space="preserve"> £</w:t>
      </w:r>
      <w:r w:rsidR="00675E55" w:rsidRPr="007337C6">
        <w:rPr>
          <w:rFonts w:ascii="Trebuchet MS" w:hAnsi="Trebuchet MS" w:cs="Arial"/>
          <w:sz w:val="20"/>
          <w:szCs w:val="20"/>
        </w:rPr>
        <w:t>1</w:t>
      </w:r>
      <w:r w:rsidRPr="007337C6">
        <w:rPr>
          <w:rFonts w:ascii="Trebuchet MS" w:hAnsi="Trebuchet MS" w:cs="Arial"/>
          <w:sz w:val="20"/>
          <w:szCs w:val="20"/>
        </w:rPr>
        <w:t>m</w:t>
      </w:r>
      <w:r w:rsidR="00F1416F" w:rsidRPr="007337C6">
        <w:rPr>
          <w:rFonts w:ascii="Trebuchet MS" w:hAnsi="Trebuchet MS" w:cs="Arial"/>
          <w:sz w:val="20"/>
          <w:szCs w:val="20"/>
        </w:rPr>
        <w:t xml:space="preserve"> (a loss)</w:t>
      </w:r>
      <w:r w:rsidRPr="007337C6">
        <w:rPr>
          <w:rFonts w:ascii="Trebuchet MS" w:hAnsi="Trebuchet MS" w:cs="Arial"/>
          <w:sz w:val="20"/>
          <w:szCs w:val="20"/>
        </w:rPr>
        <w:t xml:space="preserve">, </w:t>
      </w:r>
      <w:r w:rsidRPr="007B0899">
        <w:rPr>
          <w:rFonts w:ascii="Trebuchet MS" w:hAnsi="Trebuchet MS" w:cs="Arial"/>
          <w:sz w:val="20"/>
          <w:szCs w:val="20"/>
        </w:rPr>
        <w:t>valued at fair value in an arm’s length approach that takes into consideration goodwill and any other intangibles. Note that this was not made explicit in the initial report.</w:t>
      </w:r>
      <w:r w:rsidR="00FD540D">
        <w:rPr>
          <w:rFonts w:ascii="Trebuchet MS" w:hAnsi="Trebuchet MS" w:cs="Arial"/>
          <w:sz w:val="20"/>
          <w:szCs w:val="20"/>
        </w:rPr>
        <w:t xml:space="preserve"> </w:t>
      </w:r>
    </w:p>
    <w:p w14:paraId="0CADCA30" w14:textId="2F9EC562" w:rsidR="00FD540D" w:rsidRPr="007B0899" w:rsidRDefault="00FD540D" w:rsidP="004B653D">
      <w:pPr>
        <w:pStyle w:val="ListParagraph"/>
        <w:numPr>
          <w:ilvl w:val="0"/>
          <w:numId w:val="27"/>
        </w:numPr>
        <w:rPr>
          <w:rFonts w:ascii="Trebuchet MS" w:hAnsi="Trebuchet MS" w:cs="Arial"/>
          <w:sz w:val="20"/>
          <w:szCs w:val="20"/>
        </w:rPr>
      </w:pPr>
      <w:r>
        <w:rPr>
          <w:rFonts w:ascii="Trebuchet MS" w:hAnsi="Trebuchet MS"/>
          <w:sz w:val="20"/>
          <w:szCs w:val="20"/>
        </w:rPr>
        <w:t>Note that because the fair value of the business was calculated as per the transfer in November 2020 and this value was subsequently incorporated in a YE 2019 position this has mechanically resulted in a negative fair value impact at YE19. This is however merely a consequence of how the tables were buil</w:t>
      </w:r>
      <w:r w:rsidR="00C627A5">
        <w:rPr>
          <w:rFonts w:ascii="Trebuchet MS" w:hAnsi="Trebuchet MS"/>
          <w:sz w:val="20"/>
          <w:szCs w:val="20"/>
        </w:rPr>
        <w:t>t</w:t>
      </w:r>
      <w:r>
        <w:rPr>
          <w:rFonts w:ascii="Trebuchet MS" w:hAnsi="Trebuchet MS"/>
          <w:sz w:val="20"/>
          <w:szCs w:val="20"/>
        </w:rPr>
        <w:t xml:space="preserve"> up. In effect that impact is pro-forma artefact.</w:t>
      </w:r>
    </w:p>
    <w:p w14:paraId="1BD4AC7D" w14:textId="3A0472F1" w:rsidR="007B0899" w:rsidRPr="007B0899" w:rsidRDefault="007B0899" w:rsidP="004B653D">
      <w:pPr>
        <w:pStyle w:val="ListParagraph"/>
        <w:numPr>
          <w:ilvl w:val="0"/>
          <w:numId w:val="27"/>
        </w:numPr>
        <w:rPr>
          <w:rFonts w:ascii="Trebuchet MS" w:hAnsi="Trebuchet MS" w:cs="Arial"/>
          <w:sz w:val="20"/>
          <w:szCs w:val="20"/>
        </w:rPr>
      </w:pPr>
      <w:r w:rsidRPr="007B0899">
        <w:rPr>
          <w:rFonts w:ascii="Trebuchet MS" w:hAnsi="Trebuchet MS"/>
          <w:sz w:val="20"/>
          <w:szCs w:val="20"/>
        </w:rPr>
        <w:t>The fair-value of the sale of LGI</w:t>
      </w:r>
      <w:r>
        <w:rPr>
          <w:rFonts w:ascii="Trebuchet MS" w:hAnsi="Trebuchet MS"/>
          <w:sz w:val="20"/>
          <w:szCs w:val="20"/>
        </w:rPr>
        <w:t>’s</w:t>
      </w:r>
      <w:r w:rsidRPr="007B0899">
        <w:rPr>
          <w:rFonts w:ascii="Trebuchet MS" w:hAnsi="Trebuchet MS"/>
          <w:sz w:val="20"/>
          <w:szCs w:val="20"/>
        </w:rPr>
        <w:t xml:space="preserve"> EU portfolio was calculated by looking at the future </w:t>
      </w:r>
      <w:proofErr w:type="spellStart"/>
      <w:r w:rsidRPr="007B0899">
        <w:rPr>
          <w:rFonts w:ascii="Trebuchet MS" w:hAnsi="Trebuchet MS"/>
          <w:sz w:val="20"/>
          <w:szCs w:val="20"/>
        </w:rPr>
        <w:t>cashflows</w:t>
      </w:r>
      <w:proofErr w:type="spellEnd"/>
      <w:r w:rsidRPr="007B0899">
        <w:rPr>
          <w:rFonts w:ascii="Trebuchet MS" w:hAnsi="Trebuchet MS"/>
          <w:sz w:val="20"/>
          <w:szCs w:val="20"/>
        </w:rPr>
        <w:t xml:space="preserve"> of the business as a whole, i.e. both the </w:t>
      </w:r>
      <w:r>
        <w:rPr>
          <w:rFonts w:ascii="Trebuchet MS" w:hAnsi="Trebuchet MS"/>
          <w:sz w:val="20"/>
          <w:szCs w:val="20"/>
        </w:rPr>
        <w:t>B</w:t>
      </w:r>
      <w:r w:rsidRPr="007B0899">
        <w:rPr>
          <w:rFonts w:ascii="Trebuchet MS" w:hAnsi="Trebuchet MS"/>
          <w:sz w:val="20"/>
          <w:szCs w:val="20"/>
        </w:rPr>
        <w:t xml:space="preserve">ack book transferred with the Part VII, and the </w:t>
      </w:r>
      <w:r>
        <w:rPr>
          <w:rFonts w:ascii="Trebuchet MS" w:hAnsi="Trebuchet MS"/>
          <w:sz w:val="20"/>
          <w:szCs w:val="20"/>
        </w:rPr>
        <w:t>F</w:t>
      </w:r>
      <w:r w:rsidRPr="007B0899">
        <w:rPr>
          <w:rFonts w:ascii="Trebuchet MS" w:hAnsi="Trebuchet MS"/>
          <w:sz w:val="20"/>
          <w:szCs w:val="20"/>
        </w:rPr>
        <w:t xml:space="preserve">ront book of new business; and it is negative at YE19 due to the </w:t>
      </w:r>
      <w:r w:rsidR="00FD540D">
        <w:rPr>
          <w:rFonts w:ascii="Trebuchet MS" w:hAnsi="Trebuchet MS"/>
          <w:sz w:val="20"/>
          <w:szCs w:val="20"/>
        </w:rPr>
        <w:t>pro-forma calculation as explained in the bullet point above. The fair-value of the sale of LGI’s EU portfolio is</w:t>
      </w:r>
      <w:r w:rsidRPr="007B0899">
        <w:rPr>
          <w:rFonts w:ascii="Trebuchet MS" w:hAnsi="Trebuchet MS"/>
          <w:sz w:val="20"/>
          <w:szCs w:val="20"/>
        </w:rPr>
        <w:t xml:space="preserve"> positive at 2Q20 and 3Q20</w:t>
      </w:r>
      <w:r w:rsidR="003A51BF">
        <w:rPr>
          <w:rStyle w:val="FootnoteReference"/>
          <w:rFonts w:ascii="Trebuchet MS" w:hAnsi="Trebuchet MS"/>
          <w:sz w:val="20"/>
          <w:szCs w:val="20"/>
        </w:rPr>
        <w:footnoteReference w:id="7"/>
      </w:r>
      <w:r w:rsidR="003A51BF">
        <w:rPr>
          <w:rFonts w:ascii="Trebuchet MS" w:hAnsi="Trebuchet MS"/>
          <w:sz w:val="20"/>
          <w:szCs w:val="20"/>
        </w:rPr>
        <w:t>.</w:t>
      </w:r>
    </w:p>
    <w:p w14:paraId="1ED65B38" w14:textId="5DC5C852" w:rsidR="004B653D" w:rsidRPr="007B0899" w:rsidRDefault="00DD671C" w:rsidP="004B653D">
      <w:pPr>
        <w:pStyle w:val="ListParagraph"/>
        <w:numPr>
          <w:ilvl w:val="0"/>
          <w:numId w:val="27"/>
        </w:numPr>
        <w:rPr>
          <w:rFonts w:ascii="Trebuchet MS" w:hAnsi="Trebuchet MS" w:cs="Arial"/>
          <w:sz w:val="20"/>
          <w:szCs w:val="20"/>
        </w:rPr>
      </w:pPr>
      <w:r w:rsidRPr="007B0899">
        <w:rPr>
          <w:rFonts w:ascii="Trebuchet MS" w:hAnsi="Trebuchet MS" w:cs="Arial"/>
          <w:sz w:val="20"/>
          <w:szCs w:val="20"/>
        </w:rPr>
        <w:t>In the initial report the transferring portfolio was neutral on GAAP basis. However, in the supplementary report the new view is to make the Transferring portfolio profit neutral on Solvency II basis.</w:t>
      </w:r>
    </w:p>
    <w:p w14:paraId="4D07ABE0" w14:textId="13F344BF" w:rsidR="00AF49B2" w:rsidRPr="003C27AC" w:rsidRDefault="00E4373B" w:rsidP="006C5658">
      <w:pPr>
        <w:pStyle w:val="ListParagraph"/>
        <w:numPr>
          <w:ilvl w:val="0"/>
          <w:numId w:val="27"/>
        </w:numPr>
        <w:rPr>
          <w:rFonts w:ascii="Trebuchet MS" w:hAnsi="Trebuchet MS"/>
        </w:rPr>
      </w:pPr>
      <w:r w:rsidRPr="007B0899">
        <w:rPr>
          <w:rFonts w:ascii="Trebuchet MS" w:hAnsi="Trebuchet MS" w:cs="Arial"/>
          <w:sz w:val="20"/>
          <w:szCs w:val="20"/>
        </w:rPr>
        <w:t>Most of the liabilities of LGI</w:t>
      </w:r>
      <w:r w:rsidRPr="007337C6">
        <w:rPr>
          <w:rFonts w:ascii="Trebuchet MS" w:hAnsi="Trebuchet MS" w:cs="Arial"/>
          <w:sz w:val="20"/>
          <w:szCs w:val="20"/>
        </w:rPr>
        <w:t xml:space="preserve"> will be transferred to AEI. On </w:t>
      </w:r>
      <w:r w:rsidR="00DD671C" w:rsidRPr="007337C6">
        <w:rPr>
          <w:rFonts w:ascii="Trebuchet MS" w:hAnsi="Trebuchet MS" w:cs="Arial"/>
          <w:sz w:val="20"/>
          <w:szCs w:val="20"/>
        </w:rPr>
        <w:t>Solvency II</w:t>
      </w:r>
      <w:r w:rsidRPr="007337C6">
        <w:rPr>
          <w:rFonts w:ascii="Trebuchet MS" w:hAnsi="Trebuchet MS" w:cs="Arial"/>
          <w:sz w:val="20"/>
          <w:szCs w:val="20"/>
        </w:rPr>
        <w:t xml:space="preserve"> basis, the same amounts of assets will be transferred, making a nil profit transaction (on </w:t>
      </w:r>
      <w:r w:rsidR="00DD671C" w:rsidRPr="007337C6">
        <w:rPr>
          <w:rFonts w:ascii="Trebuchet MS" w:hAnsi="Trebuchet MS" w:cs="Arial"/>
          <w:sz w:val="20"/>
          <w:szCs w:val="20"/>
        </w:rPr>
        <w:t>Solvency II</w:t>
      </w:r>
      <w:r w:rsidRPr="007337C6">
        <w:rPr>
          <w:rFonts w:ascii="Trebuchet MS" w:hAnsi="Trebuchet MS" w:cs="Arial"/>
          <w:sz w:val="20"/>
          <w:szCs w:val="20"/>
        </w:rPr>
        <w:t xml:space="preserve"> basis). However, on </w:t>
      </w:r>
      <w:r w:rsidR="00DD671C" w:rsidRPr="007337C6">
        <w:rPr>
          <w:rFonts w:ascii="Trebuchet MS" w:hAnsi="Trebuchet MS" w:cs="Arial"/>
          <w:sz w:val="20"/>
          <w:szCs w:val="20"/>
        </w:rPr>
        <w:t>GAAP</w:t>
      </w:r>
      <w:r w:rsidRPr="007337C6">
        <w:rPr>
          <w:rFonts w:ascii="Trebuchet MS" w:hAnsi="Trebuchet MS" w:cs="Arial"/>
          <w:sz w:val="20"/>
          <w:szCs w:val="20"/>
        </w:rPr>
        <w:t xml:space="preserve"> basis, the transaction has generated a </w:t>
      </w:r>
      <w:r w:rsidR="00A4416A" w:rsidRPr="007337C6">
        <w:rPr>
          <w:rFonts w:ascii="Trebuchet MS" w:hAnsi="Trebuchet MS" w:cs="Arial"/>
          <w:sz w:val="20"/>
          <w:szCs w:val="20"/>
        </w:rPr>
        <w:t>profit</w:t>
      </w:r>
      <w:r w:rsidRPr="007337C6">
        <w:rPr>
          <w:rFonts w:ascii="Trebuchet MS" w:hAnsi="Trebuchet MS" w:cs="Arial"/>
          <w:sz w:val="20"/>
          <w:szCs w:val="20"/>
        </w:rPr>
        <w:t xml:space="preserve"> of £</w:t>
      </w:r>
      <w:r w:rsidR="00A4416A" w:rsidRPr="007337C6">
        <w:rPr>
          <w:rFonts w:ascii="Trebuchet MS" w:hAnsi="Trebuchet MS" w:cs="Arial"/>
          <w:sz w:val="20"/>
          <w:szCs w:val="20"/>
        </w:rPr>
        <w:t>4.8</w:t>
      </w:r>
      <w:r w:rsidRPr="007337C6">
        <w:rPr>
          <w:rFonts w:ascii="Trebuchet MS" w:hAnsi="Trebuchet MS" w:cs="Arial"/>
          <w:sz w:val="20"/>
          <w:szCs w:val="20"/>
        </w:rPr>
        <w:t xml:space="preserve">m for LGI, and </w:t>
      </w:r>
      <w:r w:rsidR="00A4416A" w:rsidRPr="007337C6">
        <w:rPr>
          <w:rFonts w:ascii="Trebuchet MS" w:hAnsi="Trebuchet MS" w:cs="Arial"/>
          <w:sz w:val="20"/>
          <w:szCs w:val="20"/>
        </w:rPr>
        <w:t xml:space="preserve">Solvency II </w:t>
      </w:r>
      <w:r w:rsidRPr="007337C6">
        <w:rPr>
          <w:rFonts w:ascii="Trebuchet MS" w:hAnsi="Trebuchet MS" w:cs="Arial"/>
          <w:sz w:val="20"/>
          <w:szCs w:val="20"/>
        </w:rPr>
        <w:t>Own Funds have decreased from £90.8m to £</w:t>
      </w:r>
      <w:r w:rsidR="00A4416A" w:rsidRPr="007337C6">
        <w:rPr>
          <w:rFonts w:ascii="Trebuchet MS" w:hAnsi="Trebuchet MS" w:cs="Arial"/>
          <w:sz w:val="20"/>
          <w:szCs w:val="20"/>
        </w:rPr>
        <w:t>5</w:t>
      </w:r>
      <w:r w:rsidR="009061DF">
        <w:rPr>
          <w:rFonts w:ascii="Trebuchet MS" w:hAnsi="Trebuchet MS" w:cs="Arial"/>
          <w:sz w:val="20"/>
          <w:szCs w:val="20"/>
        </w:rPr>
        <w:t>3</w:t>
      </w:r>
      <w:r w:rsidR="00A4416A" w:rsidRPr="007337C6">
        <w:rPr>
          <w:rFonts w:ascii="Trebuchet MS" w:hAnsi="Trebuchet MS" w:cs="Arial"/>
          <w:sz w:val="20"/>
          <w:szCs w:val="20"/>
        </w:rPr>
        <w:t>.</w:t>
      </w:r>
      <w:r w:rsidR="009061DF">
        <w:rPr>
          <w:rFonts w:ascii="Trebuchet MS" w:hAnsi="Trebuchet MS" w:cs="Arial"/>
          <w:sz w:val="20"/>
          <w:szCs w:val="20"/>
        </w:rPr>
        <w:t>2</w:t>
      </w:r>
      <w:r w:rsidRPr="007337C6">
        <w:rPr>
          <w:rFonts w:ascii="Trebuchet MS" w:hAnsi="Trebuchet MS" w:cs="Arial"/>
          <w:sz w:val="20"/>
          <w:szCs w:val="20"/>
        </w:rPr>
        <w:t xml:space="preserve">m </w:t>
      </w:r>
      <w:r w:rsidR="00A4416A" w:rsidRPr="007337C6">
        <w:rPr>
          <w:rFonts w:ascii="Trebuchet MS" w:hAnsi="Trebuchet MS" w:cs="Arial"/>
          <w:sz w:val="20"/>
          <w:szCs w:val="20"/>
        </w:rPr>
        <w:t>after a dividend payment of £35m</w:t>
      </w:r>
      <w:r w:rsidR="002B1996" w:rsidRPr="007337C6">
        <w:rPr>
          <w:rStyle w:val="FootnoteReference"/>
          <w:rFonts w:ascii="Trebuchet MS" w:hAnsi="Trebuchet MS" w:cs="Arial"/>
          <w:sz w:val="20"/>
          <w:szCs w:val="20"/>
        </w:rPr>
        <w:footnoteReference w:id="8"/>
      </w:r>
      <w:r w:rsidR="00675E55" w:rsidRPr="007337C6">
        <w:rPr>
          <w:rFonts w:ascii="Trebuchet MS" w:hAnsi="Trebuchet MS" w:cs="Arial"/>
          <w:sz w:val="20"/>
          <w:szCs w:val="20"/>
        </w:rPr>
        <w:t xml:space="preserve"> to </w:t>
      </w:r>
      <w:proofErr w:type="spellStart"/>
      <w:r w:rsidR="00B67957">
        <w:rPr>
          <w:rFonts w:ascii="Trebuchet MS" w:hAnsi="Trebuchet MS" w:cs="Arial"/>
          <w:sz w:val="20"/>
          <w:szCs w:val="20"/>
        </w:rPr>
        <w:t>TWGE</w:t>
      </w:r>
      <w:proofErr w:type="spellEnd"/>
      <w:r w:rsidR="00B67957">
        <w:rPr>
          <w:rFonts w:ascii="Trebuchet MS" w:hAnsi="Trebuchet MS" w:cs="Arial"/>
          <w:sz w:val="20"/>
          <w:szCs w:val="20"/>
        </w:rPr>
        <w:t xml:space="preserve"> which then makes a capital injection into </w:t>
      </w:r>
      <w:r w:rsidR="00675E55" w:rsidRPr="007337C6">
        <w:rPr>
          <w:rFonts w:ascii="Trebuchet MS" w:hAnsi="Trebuchet MS" w:cs="Arial"/>
          <w:sz w:val="20"/>
          <w:szCs w:val="20"/>
        </w:rPr>
        <w:t xml:space="preserve">AEI and £2m </w:t>
      </w:r>
      <w:r w:rsidR="00B67957">
        <w:rPr>
          <w:rFonts w:ascii="Trebuchet MS" w:hAnsi="Trebuchet MS" w:cs="Arial"/>
          <w:sz w:val="20"/>
          <w:szCs w:val="20"/>
        </w:rPr>
        <w:t>in</w:t>
      </w:r>
      <w:r w:rsidR="00675E55" w:rsidRPr="007337C6">
        <w:rPr>
          <w:rFonts w:ascii="Trebuchet MS" w:hAnsi="Trebuchet MS" w:cs="Arial"/>
          <w:sz w:val="20"/>
          <w:szCs w:val="20"/>
        </w:rPr>
        <w:t>to AEL</w:t>
      </w:r>
      <w:r w:rsidR="00A4416A" w:rsidRPr="007337C6">
        <w:rPr>
          <w:rFonts w:ascii="Trebuchet MS" w:hAnsi="Trebuchet MS" w:cs="Arial"/>
          <w:sz w:val="20"/>
          <w:szCs w:val="20"/>
        </w:rPr>
        <w:t xml:space="preserve">, </w:t>
      </w:r>
      <w:r w:rsidRPr="007337C6">
        <w:rPr>
          <w:rFonts w:ascii="Trebuchet MS" w:hAnsi="Trebuchet MS" w:cs="Arial"/>
          <w:sz w:val="20"/>
          <w:szCs w:val="20"/>
        </w:rPr>
        <w:t>while the SCR has decreased from £</w:t>
      </w:r>
      <w:r w:rsidR="00675E55" w:rsidRPr="007337C6">
        <w:rPr>
          <w:rFonts w:ascii="Trebuchet MS" w:hAnsi="Trebuchet MS" w:cs="Arial"/>
          <w:sz w:val="20"/>
          <w:szCs w:val="20"/>
        </w:rPr>
        <w:t>46.2</w:t>
      </w:r>
      <w:r w:rsidRPr="007337C6">
        <w:rPr>
          <w:rFonts w:ascii="Trebuchet MS" w:hAnsi="Trebuchet MS" w:cs="Arial"/>
          <w:sz w:val="20"/>
          <w:szCs w:val="20"/>
        </w:rPr>
        <w:t>m to £</w:t>
      </w:r>
      <w:r w:rsidR="00675E55" w:rsidRPr="007337C6">
        <w:rPr>
          <w:rFonts w:ascii="Trebuchet MS" w:hAnsi="Trebuchet MS" w:cs="Arial"/>
          <w:sz w:val="20"/>
          <w:szCs w:val="20"/>
        </w:rPr>
        <w:t>20.4</w:t>
      </w:r>
      <w:r w:rsidRPr="007337C6">
        <w:rPr>
          <w:rFonts w:ascii="Trebuchet MS" w:hAnsi="Trebuchet MS" w:cs="Arial"/>
          <w:sz w:val="20"/>
          <w:szCs w:val="20"/>
        </w:rPr>
        <w:t xml:space="preserve">m, making the SCR ratio improve from 196% to </w:t>
      </w:r>
      <w:r w:rsidR="00A4416A" w:rsidRPr="007337C6">
        <w:rPr>
          <w:rFonts w:ascii="Trebuchet MS" w:hAnsi="Trebuchet MS" w:cs="Arial"/>
          <w:sz w:val="20"/>
          <w:szCs w:val="20"/>
        </w:rPr>
        <w:t>26</w:t>
      </w:r>
      <w:r w:rsidR="009061DF">
        <w:rPr>
          <w:rFonts w:ascii="Trebuchet MS" w:hAnsi="Trebuchet MS" w:cs="Arial"/>
          <w:sz w:val="20"/>
          <w:szCs w:val="20"/>
        </w:rPr>
        <w:t>1</w:t>
      </w:r>
      <w:r w:rsidRPr="007337C6">
        <w:rPr>
          <w:rFonts w:ascii="Trebuchet MS" w:hAnsi="Trebuchet MS" w:cs="Arial"/>
          <w:sz w:val="20"/>
          <w:szCs w:val="20"/>
        </w:rPr>
        <w:t>%</w:t>
      </w:r>
      <w:r w:rsidR="00780280" w:rsidRPr="007337C6">
        <w:rPr>
          <w:rFonts w:ascii="Trebuchet MS" w:hAnsi="Trebuchet MS" w:cs="Arial"/>
          <w:sz w:val="20"/>
          <w:szCs w:val="20"/>
        </w:rPr>
        <w:t xml:space="preserve"> (this reduction includes ~£19m from elimination of past premium for EU-27 business from the LGI SCR in line with Solvenc</w:t>
      </w:r>
      <w:r w:rsidR="00470861">
        <w:rPr>
          <w:rFonts w:ascii="Trebuchet MS" w:hAnsi="Trebuchet MS" w:cs="Arial"/>
          <w:sz w:val="20"/>
          <w:szCs w:val="20"/>
        </w:rPr>
        <w:t>y II</w:t>
      </w:r>
      <w:r w:rsidR="00780280" w:rsidRPr="007337C6">
        <w:rPr>
          <w:rFonts w:ascii="Trebuchet MS" w:hAnsi="Trebuchet MS" w:cs="Arial"/>
          <w:sz w:val="20"/>
          <w:szCs w:val="20"/>
        </w:rPr>
        <w:t xml:space="preserve"> Article 116)</w:t>
      </w:r>
      <w:r w:rsidR="00805B59" w:rsidRPr="007337C6">
        <w:rPr>
          <w:rFonts w:ascii="Trebuchet MS" w:hAnsi="Trebuchet MS" w:cs="Arial"/>
          <w:sz w:val="20"/>
          <w:szCs w:val="20"/>
        </w:rPr>
        <w:t>.</w:t>
      </w:r>
      <w:r w:rsidR="00470861">
        <w:rPr>
          <w:rFonts w:ascii="Trebuchet MS" w:hAnsi="Trebuchet MS" w:cs="Arial"/>
          <w:sz w:val="20"/>
          <w:szCs w:val="20"/>
        </w:rPr>
        <w:t xml:space="preserve"> This</w:t>
      </w:r>
      <w:r w:rsidR="00DD671C" w:rsidRPr="007337C6">
        <w:rPr>
          <w:rFonts w:ascii="Trebuchet MS" w:hAnsi="Trebuchet MS" w:cs="Arial"/>
          <w:sz w:val="20"/>
          <w:szCs w:val="20"/>
        </w:rPr>
        <w:t xml:space="preserve"> was 196% pre-transfer and 307% post-Transfer in the initial report.</w:t>
      </w:r>
    </w:p>
    <w:p w14:paraId="167CC823" w14:textId="59F6CCC9" w:rsidR="00AF49B2" w:rsidRPr="00ED58A9" w:rsidRDefault="00E07A90" w:rsidP="003C27AC">
      <w:pPr>
        <w:pStyle w:val="ListParagraph"/>
        <w:numPr>
          <w:ilvl w:val="0"/>
          <w:numId w:val="27"/>
        </w:numPr>
        <w:rPr>
          <w:rFonts w:cs="Arial"/>
          <w:sz w:val="20"/>
          <w:szCs w:val="20"/>
        </w:rPr>
      </w:pPr>
      <w:bookmarkStart w:id="70" w:name="_Hlk50462401"/>
      <w:r>
        <w:rPr>
          <w:rFonts w:ascii="Trebuchet MS" w:hAnsi="Trebuchet MS" w:cs="Arial"/>
          <w:sz w:val="20"/>
          <w:szCs w:val="20"/>
        </w:rPr>
        <w:t xml:space="preserve">Note that the financials in the table above assume that the dividends payments from LGI to </w:t>
      </w:r>
      <w:proofErr w:type="spellStart"/>
      <w:r w:rsidR="00B67957">
        <w:rPr>
          <w:rFonts w:ascii="Trebuchet MS" w:hAnsi="Trebuchet MS" w:cs="Arial"/>
          <w:sz w:val="20"/>
          <w:szCs w:val="20"/>
        </w:rPr>
        <w:t>TWGE</w:t>
      </w:r>
      <w:proofErr w:type="spellEnd"/>
      <w:r w:rsidR="00B67957">
        <w:rPr>
          <w:rFonts w:ascii="Trebuchet MS" w:hAnsi="Trebuchet MS" w:cs="Arial"/>
          <w:sz w:val="20"/>
          <w:szCs w:val="20"/>
        </w:rPr>
        <w:t xml:space="preserve"> for </w:t>
      </w:r>
      <w:r>
        <w:rPr>
          <w:rFonts w:ascii="Trebuchet MS" w:hAnsi="Trebuchet MS" w:cs="Arial"/>
          <w:sz w:val="20"/>
          <w:szCs w:val="20"/>
        </w:rPr>
        <w:t xml:space="preserve">AEI and AEL </w:t>
      </w:r>
      <w:r w:rsidR="00B67957">
        <w:rPr>
          <w:rFonts w:ascii="Trebuchet MS" w:hAnsi="Trebuchet MS" w:cs="Arial"/>
          <w:sz w:val="20"/>
          <w:szCs w:val="20"/>
        </w:rPr>
        <w:t xml:space="preserve">funding </w:t>
      </w:r>
      <w:r>
        <w:rPr>
          <w:rFonts w:ascii="Trebuchet MS" w:hAnsi="Trebuchet MS" w:cs="Arial"/>
          <w:sz w:val="20"/>
          <w:szCs w:val="20"/>
        </w:rPr>
        <w:t>take place on the day of the Transfer</w:t>
      </w:r>
      <w:r w:rsidR="005D1D0F">
        <w:rPr>
          <w:rFonts w:ascii="Trebuchet MS" w:hAnsi="Trebuchet MS" w:cs="Arial"/>
          <w:sz w:val="20"/>
          <w:szCs w:val="20"/>
        </w:rPr>
        <w:t>. However, th</w:t>
      </w:r>
      <w:r w:rsidR="000C4AE6">
        <w:rPr>
          <w:rFonts w:ascii="Trebuchet MS" w:hAnsi="Trebuchet MS" w:cs="Arial"/>
          <w:sz w:val="20"/>
          <w:szCs w:val="20"/>
        </w:rPr>
        <w:t>es</w:t>
      </w:r>
      <w:r w:rsidR="005D1D0F">
        <w:rPr>
          <w:rFonts w:ascii="Trebuchet MS" w:hAnsi="Trebuchet MS" w:cs="Arial"/>
          <w:sz w:val="20"/>
          <w:szCs w:val="20"/>
        </w:rPr>
        <w:t xml:space="preserve">e dividends </w:t>
      </w:r>
      <w:r w:rsidR="00B67957">
        <w:rPr>
          <w:rFonts w:ascii="Trebuchet MS" w:hAnsi="Trebuchet MS" w:cs="Arial"/>
          <w:sz w:val="20"/>
          <w:szCs w:val="20"/>
        </w:rPr>
        <w:t>have</w:t>
      </w:r>
      <w:r w:rsidR="005D1D0F">
        <w:rPr>
          <w:rFonts w:ascii="Trebuchet MS" w:hAnsi="Trebuchet MS" w:cs="Arial"/>
          <w:sz w:val="20"/>
          <w:szCs w:val="20"/>
        </w:rPr>
        <w:t xml:space="preserve"> be</w:t>
      </w:r>
      <w:r w:rsidR="00B67957">
        <w:rPr>
          <w:rFonts w:ascii="Trebuchet MS" w:hAnsi="Trebuchet MS" w:cs="Arial"/>
          <w:sz w:val="20"/>
          <w:szCs w:val="20"/>
        </w:rPr>
        <w:t>en</w:t>
      </w:r>
      <w:r w:rsidR="005D1D0F">
        <w:rPr>
          <w:rFonts w:ascii="Trebuchet MS" w:hAnsi="Trebuchet MS" w:cs="Arial"/>
          <w:sz w:val="20"/>
          <w:szCs w:val="20"/>
        </w:rPr>
        <w:t xml:space="preserve"> paid </w:t>
      </w:r>
      <w:r w:rsidR="00B67957">
        <w:rPr>
          <w:rFonts w:ascii="Trebuchet MS" w:hAnsi="Trebuchet MS" w:cs="Arial"/>
          <w:sz w:val="20"/>
          <w:szCs w:val="20"/>
        </w:rPr>
        <w:t>in September 2020</w:t>
      </w:r>
      <w:r w:rsidR="00F12817">
        <w:rPr>
          <w:rFonts w:ascii="Trebuchet MS" w:hAnsi="Trebuchet MS" w:cs="Arial"/>
          <w:sz w:val="20"/>
          <w:szCs w:val="20"/>
        </w:rPr>
        <w:t xml:space="preserve"> (after the numbers in the table were calculated)</w:t>
      </w:r>
      <w:r w:rsidR="00C527D2">
        <w:rPr>
          <w:rFonts w:ascii="Trebuchet MS" w:hAnsi="Trebuchet MS" w:cs="Arial"/>
          <w:sz w:val="20"/>
          <w:szCs w:val="20"/>
        </w:rPr>
        <w:t>,</w:t>
      </w:r>
      <w:r w:rsidR="00B67957">
        <w:rPr>
          <w:rFonts w:ascii="Trebuchet MS" w:hAnsi="Trebuchet MS" w:cs="Arial"/>
          <w:sz w:val="20"/>
          <w:szCs w:val="20"/>
        </w:rPr>
        <w:t xml:space="preserve"> </w:t>
      </w:r>
      <w:r>
        <w:rPr>
          <w:rFonts w:ascii="Trebuchet MS" w:hAnsi="Trebuchet MS" w:cs="Arial"/>
          <w:sz w:val="20"/>
          <w:szCs w:val="20"/>
        </w:rPr>
        <w:t xml:space="preserve">before the Transfer, </w:t>
      </w:r>
      <w:r w:rsidR="00B67957">
        <w:rPr>
          <w:rFonts w:ascii="Trebuchet MS" w:hAnsi="Trebuchet MS" w:cs="Arial"/>
          <w:sz w:val="20"/>
          <w:szCs w:val="20"/>
        </w:rPr>
        <w:t>and</w:t>
      </w:r>
      <w:r>
        <w:rPr>
          <w:rFonts w:ascii="Trebuchet MS" w:hAnsi="Trebuchet MS" w:cs="Arial"/>
          <w:sz w:val="20"/>
          <w:szCs w:val="20"/>
        </w:rPr>
        <w:t xml:space="preserve"> the</w:t>
      </w:r>
      <w:r w:rsidR="000C4AE6">
        <w:rPr>
          <w:rFonts w:ascii="Trebuchet MS" w:hAnsi="Trebuchet MS" w:cs="Arial"/>
          <w:sz w:val="20"/>
          <w:szCs w:val="20"/>
        </w:rPr>
        <w:t xml:space="preserve"> LGI</w:t>
      </w:r>
      <w:r w:rsidR="00F12817">
        <w:rPr>
          <w:rFonts w:ascii="Trebuchet MS" w:hAnsi="Trebuchet MS" w:cs="Arial"/>
          <w:sz w:val="20"/>
          <w:szCs w:val="20"/>
        </w:rPr>
        <w:t xml:space="preserve"> </w:t>
      </w:r>
      <w:r w:rsidR="000C4AE6">
        <w:rPr>
          <w:rFonts w:ascii="Trebuchet MS" w:hAnsi="Trebuchet MS" w:cs="Arial"/>
          <w:sz w:val="20"/>
          <w:szCs w:val="20"/>
        </w:rPr>
        <w:t>Before Transfer SCR%</w:t>
      </w:r>
      <w:r w:rsidR="00F12817">
        <w:rPr>
          <w:rFonts w:ascii="Trebuchet MS" w:hAnsi="Trebuchet MS" w:cs="Arial"/>
          <w:sz w:val="20"/>
          <w:szCs w:val="20"/>
        </w:rPr>
        <w:t xml:space="preserve"> i</w:t>
      </w:r>
      <w:r w:rsidR="000C4AE6">
        <w:rPr>
          <w:rFonts w:ascii="Trebuchet MS" w:hAnsi="Trebuchet MS" w:cs="Arial"/>
          <w:sz w:val="20"/>
          <w:szCs w:val="20"/>
        </w:rPr>
        <w:t>s likely to be lower than the 196%</w:t>
      </w:r>
      <w:r w:rsidR="00154CBC">
        <w:rPr>
          <w:rFonts w:ascii="Trebuchet MS" w:hAnsi="Trebuchet MS" w:cs="Arial"/>
          <w:sz w:val="20"/>
          <w:szCs w:val="20"/>
        </w:rPr>
        <w:t xml:space="preserve"> </w:t>
      </w:r>
      <w:r w:rsidR="00B80F06">
        <w:rPr>
          <w:rFonts w:ascii="Trebuchet MS" w:hAnsi="Trebuchet MS" w:cs="Arial"/>
          <w:sz w:val="20"/>
          <w:szCs w:val="20"/>
        </w:rPr>
        <w:t xml:space="preserve">in the table above (the Before Transfer SCR% </w:t>
      </w:r>
      <w:r w:rsidR="002C17AD">
        <w:rPr>
          <w:rFonts w:ascii="Trebuchet MS" w:hAnsi="Trebuchet MS" w:cs="Arial"/>
          <w:sz w:val="20"/>
          <w:szCs w:val="20"/>
        </w:rPr>
        <w:t xml:space="preserve">will </w:t>
      </w:r>
      <w:r w:rsidR="00B80F06">
        <w:rPr>
          <w:rFonts w:ascii="Trebuchet MS" w:hAnsi="Trebuchet MS" w:cs="Arial"/>
          <w:sz w:val="20"/>
          <w:szCs w:val="20"/>
        </w:rPr>
        <w:t xml:space="preserve">drop to </w:t>
      </w:r>
      <w:r w:rsidR="00681ACA">
        <w:rPr>
          <w:rFonts w:ascii="Trebuchet MS" w:hAnsi="Trebuchet MS" w:cs="Arial"/>
          <w:sz w:val="20"/>
          <w:szCs w:val="20"/>
        </w:rPr>
        <w:t>~</w:t>
      </w:r>
      <w:r w:rsidR="00B80F06">
        <w:rPr>
          <w:rFonts w:ascii="Trebuchet MS" w:hAnsi="Trebuchet MS" w:cs="Arial"/>
          <w:sz w:val="20"/>
          <w:szCs w:val="20"/>
        </w:rPr>
        <w:t xml:space="preserve">130% </w:t>
      </w:r>
      <w:r w:rsidR="00F12817">
        <w:rPr>
          <w:rFonts w:ascii="Trebuchet MS" w:hAnsi="Trebuchet MS" w:cs="Arial"/>
          <w:sz w:val="20"/>
          <w:szCs w:val="20"/>
        </w:rPr>
        <w:t>as</w:t>
      </w:r>
      <w:r w:rsidR="00B80F06">
        <w:rPr>
          <w:rFonts w:ascii="Trebuchet MS" w:hAnsi="Trebuchet MS" w:cs="Arial"/>
          <w:sz w:val="20"/>
          <w:szCs w:val="20"/>
        </w:rPr>
        <w:t xml:space="preserve"> dividends of £37m </w:t>
      </w:r>
      <w:r w:rsidR="00E4563C">
        <w:rPr>
          <w:rFonts w:ascii="Trebuchet MS" w:hAnsi="Trebuchet MS" w:cs="Arial"/>
          <w:sz w:val="20"/>
          <w:szCs w:val="20"/>
        </w:rPr>
        <w:t xml:space="preserve">(£35m to </w:t>
      </w:r>
      <w:proofErr w:type="spellStart"/>
      <w:r w:rsidR="00F12817">
        <w:rPr>
          <w:rFonts w:ascii="Trebuchet MS" w:hAnsi="Trebuchet MS" w:cs="Arial"/>
          <w:sz w:val="20"/>
          <w:szCs w:val="20"/>
        </w:rPr>
        <w:t>TWGE</w:t>
      </w:r>
      <w:proofErr w:type="spellEnd"/>
      <w:r w:rsidR="00F12817">
        <w:rPr>
          <w:rFonts w:ascii="Trebuchet MS" w:hAnsi="Trebuchet MS" w:cs="Arial"/>
          <w:sz w:val="20"/>
          <w:szCs w:val="20"/>
        </w:rPr>
        <w:t xml:space="preserve"> to fund </w:t>
      </w:r>
      <w:r w:rsidR="00E4563C">
        <w:rPr>
          <w:rFonts w:ascii="Trebuchet MS" w:hAnsi="Trebuchet MS" w:cs="Arial"/>
          <w:sz w:val="20"/>
          <w:szCs w:val="20"/>
        </w:rPr>
        <w:t xml:space="preserve">AEI and £2m to </w:t>
      </w:r>
      <w:r w:rsidR="00F12817">
        <w:rPr>
          <w:rFonts w:ascii="Trebuchet MS" w:hAnsi="Trebuchet MS" w:cs="Arial"/>
          <w:sz w:val="20"/>
          <w:szCs w:val="20"/>
        </w:rPr>
        <w:t xml:space="preserve">fund </w:t>
      </w:r>
      <w:r w:rsidR="00E4563C">
        <w:rPr>
          <w:rFonts w:ascii="Trebuchet MS" w:hAnsi="Trebuchet MS" w:cs="Arial"/>
          <w:sz w:val="20"/>
          <w:szCs w:val="20"/>
        </w:rPr>
        <w:t xml:space="preserve">AEL) </w:t>
      </w:r>
      <w:r w:rsidR="00F12817">
        <w:rPr>
          <w:rFonts w:ascii="Trebuchet MS" w:hAnsi="Trebuchet MS" w:cs="Arial"/>
          <w:sz w:val="20"/>
          <w:szCs w:val="20"/>
        </w:rPr>
        <w:t>have been</w:t>
      </w:r>
      <w:r w:rsidR="00B80F06">
        <w:rPr>
          <w:rFonts w:ascii="Trebuchet MS" w:hAnsi="Trebuchet MS" w:cs="Arial"/>
          <w:sz w:val="20"/>
          <w:szCs w:val="20"/>
        </w:rPr>
        <w:t xml:space="preserve"> paid by LGI in September 2020)</w:t>
      </w:r>
      <w:r>
        <w:rPr>
          <w:rFonts w:ascii="Trebuchet MS" w:hAnsi="Trebuchet MS" w:cs="Arial"/>
          <w:sz w:val="20"/>
          <w:szCs w:val="20"/>
        </w:rPr>
        <w:t xml:space="preserve">. </w:t>
      </w:r>
      <w:r w:rsidR="000C4AE6">
        <w:rPr>
          <w:rFonts w:ascii="Trebuchet MS" w:hAnsi="Trebuchet MS" w:cs="Arial"/>
          <w:sz w:val="20"/>
          <w:szCs w:val="20"/>
        </w:rPr>
        <w:t>However, this drop in SCR% is a temporary effect until the Transfer takes place</w:t>
      </w:r>
      <w:r w:rsidR="00AC3AC7">
        <w:rPr>
          <w:rFonts w:ascii="Trebuchet MS" w:hAnsi="Trebuchet MS" w:cs="Arial"/>
          <w:sz w:val="20"/>
          <w:szCs w:val="20"/>
        </w:rPr>
        <w:t xml:space="preserve"> and </w:t>
      </w:r>
      <w:r w:rsidR="00154CBC" w:rsidRPr="00154CBC">
        <w:rPr>
          <w:rFonts w:ascii="Trebuchet MS" w:hAnsi="Trebuchet MS" w:cs="Arial"/>
          <w:sz w:val="20"/>
          <w:szCs w:val="20"/>
        </w:rPr>
        <w:t xml:space="preserve">is </w:t>
      </w:r>
      <w:proofErr w:type="spellStart"/>
      <w:r w:rsidR="00154CBC" w:rsidRPr="00154CBC">
        <w:rPr>
          <w:rFonts w:ascii="Trebuchet MS" w:hAnsi="Trebuchet MS" w:cs="Arial"/>
          <w:sz w:val="20"/>
          <w:szCs w:val="20"/>
        </w:rPr>
        <w:t>reversable</w:t>
      </w:r>
      <w:proofErr w:type="spellEnd"/>
      <w:r w:rsidR="00154CBC" w:rsidRPr="00154CBC">
        <w:rPr>
          <w:rFonts w:ascii="Trebuchet MS" w:hAnsi="Trebuchet MS" w:cs="Arial"/>
          <w:sz w:val="20"/>
          <w:szCs w:val="20"/>
        </w:rPr>
        <w:t xml:space="preserve"> if </w:t>
      </w:r>
      <w:r w:rsidR="009E55B5">
        <w:rPr>
          <w:rFonts w:ascii="Trebuchet MS" w:hAnsi="Trebuchet MS" w:cs="Arial"/>
          <w:sz w:val="20"/>
          <w:szCs w:val="20"/>
        </w:rPr>
        <w:t>C</w:t>
      </w:r>
      <w:r w:rsidR="00154CBC" w:rsidRPr="00154CBC">
        <w:rPr>
          <w:rFonts w:ascii="Trebuchet MS" w:hAnsi="Trebuchet MS" w:cs="Arial"/>
          <w:sz w:val="20"/>
          <w:szCs w:val="20"/>
        </w:rPr>
        <w:t>ourt approval</w:t>
      </w:r>
      <w:r w:rsidR="009E55B5">
        <w:rPr>
          <w:rFonts w:ascii="Trebuchet MS" w:hAnsi="Trebuchet MS" w:cs="Arial"/>
          <w:sz w:val="20"/>
          <w:szCs w:val="20"/>
        </w:rPr>
        <w:t xml:space="preserve"> of the Transfer</w:t>
      </w:r>
      <w:r w:rsidR="00154CBC" w:rsidRPr="00154CBC">
        <w:rPr>
          <w:rFonts w:ascii="Trebuchet MS" w:hAnsi="Trebuchet MS" w:cs="Arial"/>
          <w:sz w:val="20"/>
          <w:szCs w:val="20"/>
        </w:rPr>
        <w:t xml:space="preserve"> is not forthcoming</w:t>
      </w:r>
      <w:r w:rsidR="009E55B5">
        <w:rPr>
          <w:rFonts w:ascii="Trebuchet MS" w:hAnsi="Trebuchet MS" w:cs="Arial"/>
          <w:sz w:val="20"/>
          <w:szCs w:val="20"/>
        </w:rPr>
        <w:t>.</w:t>
      </w:r>
      <w:r w:rsidR="000C4AE6">
        <w:rPr>
          <w:rFonts w:ascii="Trebuchet MS" w:hAnsi="Trebuchet MS" w:cs="Arial"/>
          <w:sz w:val="20"/>
          <w:szCs w:val="20"/>
        </w:rPr>
        <w:t xml:space="preserve"> </w:t>
      </w:r>
      <w:r w:rsidR="00CB5518">
        <w:rPr>
          <w:rFonts w:ascii="Trebuchet MS" w:hAnsi="Trebuchet MS" w:cs="Arial"/>
          <w:sz w:val="20"/>
          <w:szCs w:val="20"/>
        </w:rPr>
        <w:t>T</w:t>
      </w:r>
      <w:r w:rsidR="00CB5518" w:rsidRPr="00CB5518">
        <w:rPr>
          <w:rFonts w:ascii="Trebuchet MS" w:hAnsi="Trebuchet MS" w:cs="Arial"/>
          <w:sz w:val="20"/>
          <w:szCs w:val="20"/>
        </w:rPr>
        <w:t xml:space="preserve">he </w:t>
      </w:r>
      <w:r w:rsidR="00CB5518">
        <w:rPr>
          <w:rFonts w:ascii="Trebuchet MS" w:hAnsi="Trebuchet MS" w:cs="Arial"/>
          <w:sz w:val="20"/>
          <w:szCs w:val="20"/>
        </w:rPr>
        <w:t>B</w:t>
      </w:r>
      <w:r w:rsidR="00CB5518" w:rsidRPr="00CB5518">
        <w:rPr>
          <w:rFonts w:ascii="Trebuchet MS" w:hAnsi="Trebuchet MS" w:cs="Arial"/>
          <w:sz w:val="20"/>
          <w:szCs w:val="20"/>
        </w:rPr>
        <w:t xml:space="preserve">efore </w:t>
      </w:r>
      <w:r w:rsidR="00CB5518">
        <w:rPr>
          <w:rFonts w:ascii="Trebuchet MS" w:hAnsi="Trebuchet MS" w:cs="Arial"/>
          <w:sz w:val="20"/>
          <w:szCs w:val="20"/>
        </w:rPr>
        <w:t>T</w:t>
      </w:r>
      <w:r w:rsidR="00CB5518" w:rsidRPr="00CB5518">
        <w:rPr>
          <w:rFonts w:ascii="Trebuchet MS" w:hAnsi="Trebuchet MS" w:cs="Arial"/>
          <w:sz w:val="20"/>
          <w:szCs w:val="20"/>
        </w:rPr>
        <w:t xml:space="preserve">ransfer </w:t>
      </w:r>
      <w:r w:rsidR="00CB5518">
        <w:rPr>
          <w:rFonts w:ascii="Trebuchet MS" w:hAnsi="Trebuchet MS" w:cs="Arial"/>
          <w:sz w:val="20"/>
          <w:szCs w:val="20"/>
        </w:rPr>
        <w:t xml:space="preserve">SCR% </w:t>
      </w:r>
      <w:r w:rsidR="00CB5518" w:rsidRPr="00CB5518">
        <w:rPr>
          <w:rFonts w:ascii="Trebuchet MS" w:hAnsi="Trebuchet MS" w:cs="Arial"/>
          <w:sz w:val="20"/>
          <w:szCs w:val="20"/>
        </w:rPr>
        <w:t>of AEI will be increased to offset th</w:t>
      </w:r>
      <w:r w:rsidR="00CB5518">
        <w:rPr>
          <w:rFonts w:ascii="Trebuchet MS" w:hAnsi="Trebuchet MS" w:cs="Arial"/>
          <w:sz w:val="20"/>
          <w:szCs w:val="20"/>
        </w:rPr>
        <w:t xml:space="preserve">e temporary drop in the LGI </w:t>
      </w:r>
      <w:proofErr w:type="gramStart"/>
      <w:r w:rsidR="00CB5518">
        <w:rPr>
          <w:rFonts w:ascii="Trebuchet MS" w:hAnsi="Trebuchet MS" w:cs="Arial"/>
          <w:sz w:val="20"/>
          <w:szCs w:val="20"/>
        </w:rPr>
        <w:t>Before</w:t>
      </w:r>
      <w:proofErr w:type="gramEnd"/>
      <w:r w:rsidR="00CB5518">
        <w:rPr>
          <w:rFonts w:ascii="Trebuchet MS" w:hAnsi="Trebuchet MS" w:cs="Arial"/>
          <w:sz w:val="20"/>
          <w:szCs w:val="20"/>
        </w:rPr>
        <w:t xml:space="preserve"> Transfer SCR%.</w:t>
      </w:r>
    </w:p>
    <w:p w14:paraId="1A12F58B" w14:textId="4B4D3771" w:rsidR="00B60D49" w:rsidRPr="00ED58A9" w:rsidRDefault="00B60D49">
      <w:pPr>
        <w:pStyle w:val="ListParagraph"/>
        <w:numPr>
          <w:ilvl w:val="0"/>
          <w:numId w:val="27"/>
        </w:numPr>
        <w:rPr>
          <w:rFonts w:ascii="Trebuchet MS" w:hAnsi="Trebuchet MS"/>
          <w:sz w:val="20"/>
          <w:szCs w:val="20"/>
        </w:rPr>
      </w:pPr>
      <w:r>
        <w:rPr>
          <w:rFonts w:ascii="Trebuchet MS" w:hAnsi="Trebuchet MS"/>
          <w:sz w:val="20"/>
          <w:szCs w:val="20"/>
        </w:rPr>
        <w:t xml:space="preserve">Note that </w:t>
      </w:r>
      <w:r w:rsidRPr="00B60D49">
        <w:rPr>
          <w:rFonts w:ascii="Trebuchet MS" w:hAnsi="Trebuchet MS"/>
          <w:sz w:val="20"/>
          <w:szCs w:val="20"/>
        </w:rPr>
        <w:t xml:space="preserve">LGI </w:t>
      </w:r>
      <w:r w:rsidR="00B67957">
        <w:rPr>
          <w:rFonts w:ascii="Trebuchet MS" w:hAnsi="Trebuchet MS"/>
          <w:sz w:val="20"/>
          <w:szCs w:val="20"/>
        </w:rPr>
        <w:t>does not pay dividend</w:t>
      </w:r>
      <w:r w:rsidR="00082924">
        <w:rPr>
          <w:rFonts w:ascii="Trebuchet MS" w:hAnsi="Trebuchet MS"/>
          <w:sz w:val="20"/>
          <w:szCs w:val="20"/>
        </w:rPr>
        <w:t>s</w:t>
      </w:r>
      <w:r w:rsidR="00B67957">
        <w:rPr>
          <w:rFonts w:ascii="Trebuchet MS" w:hAnsi="Trebuchet MS"/>
          <w:sz w:val="20"/>
          <w:szCs w:val="20"/>
        </w:rPr>
        <w:t xml:space="preserve"> directly to AEI or </w:t>
      </w:r>
      <w:proofErr w:type="gramStart"/>
      <w:r w:rsidR="00B67957">
        <w:rPr>
          <w:rFonts w:ascii="Trebuchet MS" w:hAnsi="Trebuchet MS"/>
          <w:sz w:val="20"/>
          <w:szCs w:val="20"/>
        </w:rPr>
        <w:t>AEL,</w:t>
      </w:r>
      <w:proofErr w:type="gramEnd"/>
      <w:r w:rsidR="00B67957">
        <w:rPr>
          <w:rFonts w:ascii="Trebuchet MS" w:hAnsi="Trebuchet MS"/>
          <w:sz w:val="20"/>
          <w:szCs w:val="20"/>
        </w:rPr>
        <w:t xml:space="preserve"> instead, LGI </w:t>
      </w:r>
      <w:r w:rsidRPr="00B60D49">
        <w:rPr>
          <w:rFonts w:ascii="Trebuchet MS" w:hAnsi="Trebuchet MS"/>
          <w:sz w:val="20"/>
          <w:szCs w:val="20"/>
        </w:rPr>
        <w:t xml:space="preserve">will declare and pay dividends to </w:t>
      </w:r>
      <w:proofErr w:type="spellStart"/>
      <w:r w:rsidRPr="00B60D49">
        <w:rPr>
          <w:rFonts w:ascii="Trebuchet MS" w:hAnsi="Trebuchet MS"/>
          <w:sz w:val="20"/>
          <w:szCs w:val="20"/>
        </w:rPr>
        <w:t>TWGE</w:t>
      </w:r>
      <w:proofErr w:type="spellEnd"/>
      <w:r w:rsidRPr="00B60D49">
        <w:rPr>
          <w:rFonts w:ascii="Trebuchet MS" w:hAnsi="Trebuchet MS"/>
          <w:sz w:val="20"/>
          <w:szCs w:val="20"/>
        </w:rPr>
        <w:t xml:space="preserve"> which will then make capital contributions to AEI/AEL as the shareholder. </w:t>
      </w:r>
      <w:r w:rsidRPr="00ED58A9">
        <w:rPr>
          <w:rFonts w:ascii="Trebuchet MS" w:hAnsi="Trebuchet MS"/>
          <w:sz w:val="20"/>
          <w:szCs w:val="20"/>
        </w:rPr>
        <w:t xml:space="preserve">The LGI dividend to </w:t>
      </w:r>
      <w:proofErr w:type="spellStart"/>
      <w:r w:rsidRPr="00ED58A9">
        <w:rPr>
          <w:rFonts w:ascii="Trebuchet MS" w:hAnsi="Trebuchet MS"/>
          <w:sz w:val="20"/>
          <w:szCs w:val="20"/>
        </w:rPr>
        <w:t>TWGE</w:t>
      </w:r>
      <w:proofErr w:type="spellEnd"/>
      <w:r w:rsidRPr="00ED58A9">
        <w:rPr>
          <w:rFonts w:ascii="Trebuchet MS" w:hAnsi="Trebuchet MS"/>
          <w:sz w:val="20"/>
          <w:szCs w:val="20"/>
        </w:rPr>
        <w:t xml:space="preserve"> will be partly in specie (transfer of bonds) and partly in cash. The </w:t>
      </w:r>
      <w:proofErr w:type="spellStart"/>
      <w:r w:rsidRPr="00ED58A9">
        <w:rPr>
          <w:rFonts w:ascii="Trebuchet MS" w:hAnsi="Trebuchet MS"/>
          <w:sz w:val="20"/>
          <w:szCs w:val="20"/>
        </w:rPr>
        <w:t>TWGE</w:t>
      </w:r>
      <w:proofErr w:type="spellEnd"/>
      <w:r w:rsidRPr="00ED58A9">
        <w:rPr>
          <w:rFonts w:ascii="Trebuchet MS" w:hAnsi="Trebuchet MS"/>
          <w:sz w:val="20"/>
          <w:szCs w:val="20"/>
        </w:rPr>
        <w:t xml:space="preserve"> contribution to AEI will be partly in kind (transfer of the bonds received from LGI) and partly in cash and will be recorded as share premium on </w:t>
      </w:r>
      <w:r w:rsidRPr="00ED58A9">
        <w:rPr>
          <w:rFonts w:ascii="Trebuchet MS" w:hAnsi="Trebuchet MS"/>
          <w:sz w:val="20"/>
          <w:szCs w:val="20"/>
        </w:rPr>
        <w:lastRenderedPageBreak/>
        <w:t xml:space="preserve">already-issued shares. The </w:t>
      </w:r>
      <w:proofErr w:type="spellStart"/>
      <w:r w:rsidRPr="00ED58A9">
        <w:rPr>
          <w:rFonts w:ascii="Trebuchet MS" w:hAnsi="Trebuchet MS"/>
          <w:sz w:val="20"/>
          <w:szCs w:val="20"/>
        </w:rPr>
        <w:t>TWGE</w:t>
      </w:r>
      <w:proofErr w:type="spellEnd"/>
      <w:r w:rsidRPr="00ED58A9">
        <w:rPr>
          <w:rFonts w:ascii="Trebuchet MS" w:hAnsi="Trebuchet MS"/>
          <w:sz w:val="20"/>
          <w:szCs w:val="20"/>
        </w:rPr>
        <w:t xml:space="preserve"> contribution to AEL will be fully in cash and, again, will be recorded as share premium on already-issued shares.</w:t>
      </w:r>
    </w:p>
    <w:bookmarkEnd w:id="70"/>
    <w:p w14:paraId="466A3F28" w14:textId="619A73FF" w:rsidR="00BD51FB" w:rsidRPr="007337C6" w:rsidRDefault="00470861" w:rsidP="0083430F">
      <w:pPr>
        <w:rPr>
          <w:rFonts w:ascii="Trebuchet MS" w:hAnsi="Trebuchet MS" w:cs="Arial"/>
          <w:sz w:val="20"/>
          <w:szCs w:val="20"/>
        </w:rPr>
      </w:pPr>
      <w:r w:rsidRPr="00470861">
        <w:rPr>
          <w:noProof/>
          <w:lang w:eastAsia="en-GB"/>
        </w:rPr>
        <w:drawing>
          <wp:inline distT="0" distB="0" distL="0" distR="0" wp14:anchorId="03D1EAC2" wp14:editId="7CCAAAB0">
            <wp:extent cx="6607175" cy="3071446"/>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25773" cy="3080092"/>
                    </a:xfrm>
                    <a:prstGeom prst="rect">
                      <a:avLst/>
                    </a:prstGeom>
                    <a:noFill/>
                    <a:ln>
                      <a:noFill/>
                    </a:ln>
                  </pic:spPr>
                </pic:pic>
              </a:graphicData>
            </a:graphic>
          </wp:inline>
        </w:drawing>
      </w:r>
    </w:p>
    <w:p w14:paraId="5BFA176F" w14:textId="3D5DA431" w:rsidR="003D6963" w:rsidRPr="00786B8A" w:rsidRDefault="00F1416F" w:rsidP="00786B8A">
      <w:pPr>
        <w:pStyle w:val="ListParagraph"/>
        <w:numPr>
          <w:ilvl w:val="0"/>
          <w:numId w:val="28"/>
        </w:numPr>
        <w:rPr>
          <w:rFonts w:ascii="Trebuchet MS" w:hAnsi="Trebuchet MS" w:cs="Arial"/>
          <w:sz w:val="20"/>
          <w:szCs w:val="20"/>
        </w:rPr>
      </w:pPr>
      <w:r w:rsidRPr="007337C6">
        <w:rPr>
          <w:rFonts w:ascii="Trebuchet MS" w:hAnsi="Trebuchet MS" w:cs="Arial"/>
          <w:sz w:val="20"/>
          <w:szCs w:val="20"/>
        </w:rPr>
        <w:t xml:space="preserve">AEI </w:t>
      </w:r>
      <w:bookmarkStart w:id="71" w:name="_Hlk50549917"/>
      <w:r w:rsidR="003D6963" w:rsidRPr="00786B8A">
        <w:rPr>
          <w:rFonts w:ascii="Trebuchet MS" w:hAnsi="Trebuchet MS" w:cs="Arial"/>
          <w:sz w:val="20"/>
          <w:szCs w:val="20"/>
        </w:rPr>
        <w:t xml:space="preserve">will pay the fair-value price of acquiring the </w:t>
      </w:r>
      <w:r w:rsidR="00423E8D" w:rsidRPr="00786B8A">
        <w:rPr>
          <w:rFonts w:ascii="Trebuchet MS" w:hAnsi="Trebuchet MS" w:cs="Arial"/>
          <w:sz w:val="20"/>
          <w:szCs w:val="20"/>
        </w:rPr>
        <w:t xml:space="preserve">LGI’s EU-27 </w:t>
      </w:r>
      <w:r w:rsidR="003D6963" w:rsidRPr="00786B8A">
        <w:rPr>
          <w:rFonts w:ascii="Trebuchet MS" w:hAnsi="Trebuchet MS" w:cs="Arial"/>
          <w:sz w:val="20"/>
          <w:szCs w:val="20"/>
        </w:rPr>
        <w:t xml:space="preserve">business from </w:t>
      </w:r>
      <w:r w:rsidR="00423E8D" w:rsidRPr="00786B8A">
        <w:rPr>
          <w:rFonts w:ascii="Trebuchet MS" w:hAnsi="Trebuchet MS" w:cs="Arial"/>
          <w:sz w:val="20"/>
          <w:szCs w:val="20"/>
        </w:rPr>
        <w:t xml:space="preserve">LGI by issuing shares (contribution in kind) rather than cash or investment assets while AEI pays </w:t>
      </w:r>
      <w:r w:rsidR="003D6963" w:rsidRPr="00786B8A">
        <w:rPr>
          <w:rFonts w:ascii="Trebuchet MS" w:hAnsi="Trebuchet MS" w:cs="Arial"/>
          <w:sz w:val="20"/>
          <w:szCs w:val="20"/>
        </w:rPr>
        <w:t>AGIL cash</w:t>
      </w:r>
      <w:r w:rsidR="00423E8D" w:rsidRPr="00786B8A">
        <w:rPr>
          <w:rFonts w:ascii="Trebuchet MS" w:hAnsi="Trebuchet MS" w:cs="Arial"/>
          <w:sz w:val="20"/>
          <w:szCs w:val="20"/>
        </w:rPr>
        <w:t xml:space="preserve"> to acquire AGIL’s EU-27 portfolio</w:t>
      </w:r>
      <w:r w:rsidR="003D6963" w:rsidRPr="00786B8A">
        <w:rPr>
          <w:rFonts w:ascii="Trebuchet MS" w:hAnsi="Trebuchet MS" w:cs="Arial"/>
          <w:sz w:val="20"/>
          <w:szCs w:val="20"/>
        </w:rPr>
        <w:t>. Thus, the purchase of AGIL impacts the Solvency II Own Funds of AEI while the purchase of LGI</w:t>
      </w:r>
      <w:r w:rsidR="00117D6D" w:rsidRPr="00786B8A">
        <w:rPr>
          <w:rFonts w:ascii="Trebuchet MS" w:hAnsi="Trebuchet MS" w:cs="Arial"/>
          <w:sz w:val="20"/>
          <w:szCs w:val="20"/>
        </w:rPr>
        <w:t xml:space="preserve"> sale has no impact over and above the GAAP impact</w:t>
      </w:r>
      <w:r w:rsidR="003D6963" w:rsidRPr="00786B8A">
        <w:rPr>
          <w:rFonts w:ascii="Trebuchet MS" w:hAnsi="Trebuchet MS" w:cs="Arial"/>
          <w:sz w:val="20"/>
          <w:szCs w:val="20"/>
        </w:rPr>
        <w:t>.</w:t>
      </w:r>
    </w:p>
    <w:p w14:paraId="2D567C86" w14:textId="2839B0A0" w:rsidR="003D6963" w:rsidRPr="007337C6" w:rsidRDefault="003D6963" w:rsidP="003D6963">
      <w:pPr>
        <w:pStyle w:val="ListParagraph"/>
        <w:numPr>
          <w:ilvl w:val="0"/>
          <w:numId w:val="28"/>
        </w:numPr>
        <w:rPr>
          <w:rFonts w:ascii="Trebuchet MS" w:hAnsi="Trebuchet MS" w:cs="Arial"/>
          <w:sz w:val="20"/>
          <w:szCs w:val="20"/>
        </w:rPr>
      </w:pPr>
      <w:r w:rsidRPr="003D6963">
        <w:rPr>
          <w:rFonts w:ascii="Trebuchet MS" w:hAnsi="Trebuchet MS" w:cs="Arial"/>
          <w:sz w:val="20"/>
          <w:szCs w:val="20"/>
        </w:rPr>
        <w:t xml:space="preserve">Note that because the fair value of the business from LGI was negative at YE19, no shares are issued to LGI, but AEI posts an increase in </w:t>
      </w:r>
      <w:r>
        <w:rPr>
          <w:rFonts w:ascii="Trebuchet MS" w:hAnsi="Trebuchet MS" w:cs="Arial"/>
          <w:sz w:val="20"/>
          <w:szCs w:val="20"/>
        </w:rPr>
        <w:t xml:space="preserve">shareholders’ </w:t>
      </w:r>
      <w:r w:rsidRPr="003D6963">
        <w:rPr>
          <w:rFonts w:ascii="Trebuchet MS" w:hAnsi="Trebuchet MS" w:cs="Arial"/>
          <w:sz w:val="20"/>
          <w:szCs w:val="20"/>
        </w:rPr>
        <w:t>equity</w:t>
      </w:r>
      <w:r>
        <w:rPr>
          <w:rFonts w:ascii="Trebuchet MS" w:hAnsi="Trebuchet MS" w:cs="Arial"/>
          <w:sz w:val="20"/>
          <w:szCs w:val="20"/>
        </w:rPr>
        <w:t xml:space="preserve"> fund in UK GAAP</w:t>
      </w:r>
      <w:r w:rsidR="006C1532">
        <w:rPr>
          <w:rFonts w:ascii="Trebuchet MS" w:hAnsi="Trebuchet MS" w:cs="Arial"/>
          <w:sz w:val="20"/>
          <w:szCs w:val="20"/>
        </w:rPr>
        <w:t xml:space="preserve"> </w:t>
      </w:r>
      <w:bookmarkStart w:id="72" w:name="_Hlk50550762"/>
      <w:r w:rsidR="006C1532">
        <w:rPr>
          <w:rFonts w:ascii="Trebuchet MS" w:hAnsi="Trebuchet MS" w:cs="Arial"/>
          <w:sz w:val="20"/>
          <w:szCs w:val="20"/>
        </w:rPr>
        <w:t>(the shareholder’s equity account is not shown in the tables above)</w:t>
      </w:r>
      <w:r>
        <w:rPr>
          <w:rFonts w:ascii="Trebuchet MS" w:hAnsi="Trebuchet MS" w:cs="Arial"/>
          <w:sz w:val="20"/>
          <w:szCs w:val="20"/>
        </w:rPr>
        <w:t>.</w:t>
      </w:r>
    </w:p>
    <w:bookmarkEnd w:id="71"/>
    <w:bookmarkEnd w:id="72"/>
    <w:p w14:paraId="4B1F4A17" w14:textId="195E1506" w:rsidR="002B1996" w:rsidRPr="007337C6" w:rsidRDefault="002B1996" w:rsidP="004B653D">
      <w:pPr>
        <w:pStyle w:val="ListParagraph"/>
        <w:numPr>
          <w:ilvl w:val="0"/>
          <w:numId w:val="28"/>
        </w:numPr>
        <w:rPr>
          <w:rFonts w:ascii="Trebuchet MS" w:hAnsi="Trebuchet MS" w:cs="Arial"/>
          <w:sz w:val="20"/>
          <w:szCs w:val="20"/>
        </w:rPr>
      </w:pPr>
      <w:r w:rsidRPr="007337C6">
        <w:rPr>
          <w:rFonts w:ascii="Trebuchet MS" w:hAnsi="Trebuchet MS" w:cs="Arial"/>
          <w:sz w:val="20"/>
          <w:szCs w:val="20"/>
        </w:rPr>
        <w:t xml:space="preserve">The methodological adjustment amount of £3.5m is lower than YE19 amount of ~£7m in the initial report and this is driven by </w:t>
      </w:r>
      <w:r w:rsidR="00E46CDA" w:rsidRPr="007337C6">
        <w:rPr>
          <w:rFonts w:ascii="Trebuchet MS" w:hAnsi="Trebuchet MS" w:cs="Arial"/>
          <w:sz w:val="20"/>
          <w:szCs w:val="20"/>
        </w:rPr>
        <w:t xml:space="preserve">the </w:t>
      </w:r>
      <w:r w:rsidRPr="007337C6">
        <w:rPr>
          <w:rFonts w:ascii="Trebuchet MS" w:hAnsi="Trebuchet MS" w:cs="Arial"/>
          <w:sz w:val="20"/>
          <w:szCs w:val="20"/>
        </w:rPr>
        <w:t xml:space="preserve">amounts of </w:t>
      </w:r>
      <w:r w:rsidR="00E46CDA" w:rsidRPr="007337C6">
        <w:rPr>
          <w:rFonts w:ascii="Trebuchet MS" w:hAnsi="Trebuchet MS" w:cs="Arial"/>
          <w:sz w:val="20"/>
          <w:szCs w:val="20"/>
        </w:rPr>
        <w:t xml:space="preserve">past due premium </w:t>
      </w:r>
      <w:r w:rsidRPr="007337C6">
        <w:rPr>
          <w:rFonts w:ascii="Trebuchet MS" w:hAnsi="Trebuchet MS" w:cs="Arial"/>
          <w:sz w:val="20"/>
          <w:szCs w:val="20"/>
        </w:rPr>
        <w:t xml:space="preserve">accounted for in the </w:t>
      </w:r>
      <w:proofErr w:type="spellStart"/>
      <w:r w:rsidRPr="007337C6">
        <w:rPr>
          <w:rFonts w:ascii="Trebuchet MS" w:hAnsi="Trebuchet MS" w:cs="Arial"/>
          <w:sz w:val="20"/>
          <w:szCs w:val="20"/>
        </w:rPr>
        <w:t>TPs</w:t>
      </w:r>
      <w:proofErr w:type="spellEnd"/>
      <w:r w:rsidRPr="007337C6">
        <w:rPr>
          <w:rFonts w:ascii="Trebuchet MS" w:hAnsi="Trebuchet MS" w:cs="Arial"/>
          <w:sz w:val="20"/>
          <w:szCs w:val="20"/>
        </w:rPr>
        <w:t xml:space="preserve"> of LGI at 2Q20 compared to YE19.</w:t>
      </w:r>
      <w:r w:rsidR="00E46CDA" w:rsidRPr="007337C6">
        <w:rPr>
          <w:rFonts w:ascii="Trebuchet MS" w:hAnsi="Trebuchet MS" w:cs="Arial"/>
          <w:sz w:val="20"/>
          <w:szCs w:val="20"/>
        </w:rPr>
        <w:t xml:space="preserve"> Note that the methodological adjustment aims at taking away the past due premium that was accounted for in the </w:t>
      </w:r>
      <w:proofErr w:type="spellStart"/>
      <w:r w:rsidR="00E46CDA" w:rsidRPr="007337C6">
        <w:rPr>
          <w:rFonts w:ascii="Trebuchet MS" w:hAnsi="Trebuchet MS" w:cs="Arial"/>
          <w:sz w:val="20"/>
          <w:szCs w:val="20"/>
        </w:rPr>
        <w:t>TPs</w:t>
      </w:r>
      <w:proofErr w:type="spellEnd"/>
      <w:r w:rsidR="00E46CDA" w:rsidRPr="007337C6">
        <w:rPr>
          <w:rFonts w:ascii="Trebuchet MS" w:hAnsi="Trebuchet MS" w:cs="Arial"/>
          <w:sz w:val="20"/>
          <w:szCs w:val="20"/>
        </w:rPr>
        <w:t xml:space="preserve"> of LGI and account them in Other </w:t>
      </w:r>
      <w:r w:rsidR="00470861">
        <w:rPr>
          <w:rFonts w:ascii="Trebuchet MS" w:hAnsi="Trebuchet MS" w:cs="Arial"/>
          <w:sz w:val="20"/>
          <w:szCs w:val="20"/>
        </w:rPr>
        <w:t>a</w:t>
      </w:r>
      <w:r w:rsidR="00E46CDA" w:rsidRPr="007337C6">
        <w:rPr>
          <w:rFonts w:ascii="Trebuchet MS" w:hAnsi="Trebuchet MS" w:cs="Arial"/>
          <w:sz w:val="20"/>
          <w:szCs w:val="20"/>
        </w:rPr>
        <w:t xml:space="preserve">ssets to align with AGIL’s </w:t>
      </w:r>
      <w:proofErr w:type="spellStart"/>
      <w:r w:rsidR="00E46CDA" w:rsidRPr="007337C6">
        <w:rPr>
          <w:rFonts w:ascii="Trebuchet MS" w:hAnsi="Trebuchet MS" w:cs="Arial"/>
          <w:sz w:val="20"/>
          <w:szCs w:val="20"/>
        </w:rPr>
        <w:t>TP</w:t>
      </w:r>
      <w:proofErr w:type="spellEnd"/>
      <w:r w:rsidR="00E46CDA" w:rsidRPr="007337C6">
        <w:rPr>
          <w:rFonts w:ascii="Trebuchet MS" w:hAnsi="Trebuchet MS" w:cs="Arial"/>
          <w:sz w:val="20"/>
          <w:szCs w:val="20"/>
        </w:rPr>
        <w:t xml:space="preserve"> presentation in the balance sheet</w:t>
      </w:r>
      <w:r w:rsidR="00470861">
        <w:rPr>
          <w:rFonts w:ascii="Trebuchet MS" w:hAnsi="Trebuchet MS" w:cs="Arial"/>
          <w:sz w:val="20"/>
          <w:szCs w:val="20"/>
        </w:rPr>
        <w:t>,</w:t>
      </w:r>
      <w:r w:rsidR="00E46CDA" w:rsidRPr="007337C6">
        <w:rPr>
          <w:rFonts w:ascii="Trebuchet MS" w:hAnsi="Trebuchet MS" w:cs="Arial"/>
          <w:sz w:val="20"/>
          <w:szCs w:val="20"/>
        </w:rPr>
        <w:t xml:space="preserve"> where no past due premium is accounted for in the </w:t>
      </w:r>
      <w:proofErr w:type="spellStart"/>
      <w:r w:rsidR="00E46CDA" w:rsidRPr="007337C6">
        <w:rPr>
          <w:rFonts w:ascii="Trebuchet MS" w:hAnsi="Trebuchet MS" w:cs="Arial"/>
          <w:sz w:val="20"/>
          <w:szCs w:val="20"/>
        </w:rPr>
        <w:t>TPs</w:t>
      </w:r>
      <w:proofErr w:type="spellEnd"/>
      <w:r w:rsidR="00E46CDA" w:rsidRPr="007337C6">
        <w:rPr>
          <w:rFonts w:ascii="Trebuchet MS" w:hAnsi="Trebuchet MS" w:cs="Arial"/>
          <w:sz w:val="20"/>
          <w:szCs w:val="20"/>
        </w:rPr>
        <w:t>.</w:t>
      </w:r>
    </w:p>
    <w:p w14:paraId="6F24A984" w14:textId="5A05D293" w:rsidR="004B653D" w:rsidRPr="007337C6" w:rsidRDefault="004B653D" w:rsidP="004B653D">
      <w:pPr>
        <w:pStyle w:val="ListParagraph"/>
        <w:numPr>
          <w:ilvl w:val="0"/>
          <w:numId w:val="28"/>
        </w:numPr>
        <w:rPr>
          <w:rFonts w:ascii="Trebuchet MS" w:hAnsi="Trebuchet MS" w:cs="Arial"/>
          <w:sz w:val="20"/>
          <w:szCs w:val="20"/>
        </w:rPr>
      </w:pPr>
      <w:r w:rsidRPr="007337C6">
        <w:rPr>
          <w:rFonts w:ascii="Trebuchet MS" w:hAnsi="Trebuchet MS" w:cs="Arial"/>
          <w:sz w:val="20"/>
          <w:szCs w:val="20"/>
        </w:rPr>
        <w:t xml:space="preserve">Note that there is a cash injection of </w:t>
      </w:r>
      <w:r w:rsidR="00180223" w:rsidRPr="007337C6">
        <w:rPr>
          <w:rFonts w:ascii="Trebuchet MS" w:hAnsi="Trebuchet MS" w:cs="Arial"/>
          <w:sz w:val="20"/>
          <w:szCs w:val="20"/>
        </w:rPr>
        <w:t>£3</w:t>
      </w:r>
      <w:r w:rsidR="00BD51FB" w:rsidRPr="007337C6">
        <w:rPr>
          <w:rFonts w:ascii="Trebuchet MS" w:hAnsi="Trebuchet MS" w:cs="Arial"/>
          <w:sz w:val="20"/>
          <w:szCs w:val="20"/>
        </w:rPr>
        <w:t>7</w:t>
      </w:r>
      <w:r w:rsidR="00180223" w:rsidRPr="007337C6">
        <w:rPr>
          <w:rFonts w:ascii="Trebuchet MS" w:hAnsi="Trebuchet MS" w:cs="Arial"/>
          <w:sz w:val="20"/>
          <w:szCs w:val="20"/>
        </w:rPr>
        <w:t>.</w:t>
      </w:r>
      <w:r w:rsidR="00BD51FB" w:rsidRPr="007337C6">
        <w:rPr>
          <w:rFonts w:ascii="Trebuchet MS" w:hAnsi="Trebuchet MS" w:cs="Arial"/>
          <w:sz w:val="20"/>
          <w:szCs w:val="20"/>
        </w:rPr>
        <w:t>4</w:t>
      </w:r>
      <w:r w:rsidR="00180223" w:rsidRPr="007337C6">
        <w:rPr>
          <w:rFonts w:ascii="Trebuchet MS" w:hAnsi="Trebuchet MS" w:cs="Arial"/>
          <w:sz w:val="20"/>
          <w:szCs w:val="20"/>
        </w:rPr>
        <w:t xml:space="preserve">m </w:t>
      </w:r>
      <w:r w:rsidR="002344CE" w:rsidRPr="007337C6">
        <w:rPr>
          <w:rFonts w:ascii="Trebuchet MS" w:hAnsi="Trebuchet MS" w:cs="Arial"/>
          <w:sz w:val="20"/>
          <w:szCs w:val="20"/>
        </w:rPr>
        <w:t xml:space="preserve">before </w:t>
      </w:r>
      <w:r w:rsidR="00C407B1" w:rsidRPr="007337C6">
        <w:rPr>
          <w:rFonts w:ascii="Trebuchet MS" w:hAnsi="Trebuchet MS" w:cs="Arial"/>
          <w:sz w:val="20"/>
          <w:szCs w:val="20"/>
        </w:rPr>
        <w:t>the Transfer</w:t>
      </w:r>
      <w:r w:rsidR="002344CE" w:rsidRPr="007337C6">
        <w:rPr>
          <w:rFonts w:ascii="Trebuchet MS" w:hAnsi="Trebuchet MS" w:cs="Arial"/>
          <w:sz w:val="20"/>
          <w:szCs w:val="20"/>
        </w:rPr>
        <w:t xml:space="preserve"> accounted for as cash in the balance sheet and a second cash injection of </w:t>
      </w:r>
      <w:r w:rsidR="00180223" w:rsidRPr="007337C6">
        <w:rPr>
          <w:rFonts w:ascii="Trebuchet MS" w:hAnsi="Trebuchet MS" w:cs="Arial"/>
          <w:sz w:val="20"/>
          <w:szCs w:val="20"/>
        </w:rPr>
        <w:t>£</w:t>
      </w:r>
      <w:r w:rsidR="00013ACF" w:rsidRPr="007337C6">
        <w:rPr>
          <w:rFonts w:ascii="Trebuchet MS" w:hAnsi="Trebuchet MS" w:cs="Arial"/>
          <w:sz w:val="20"/>
          <w:szCs w:val="20"/>
        </w:rPr>
        <w:t>35.0</w:t>
      </w:r>
      <w:r w:rsidR="00180223" w:rsidRPr="007337C6">
        <w:rPr>
          <w:rFonts w:ascii="Trebuchet MS" w:hAnsi="Trebuchet MS" w:cs="Arial"/>
          <w:sz w:val="20"/>
          <w:szCs w:val="20"/>
        </w:rPr>
        <w:t>m</w:t>
      </w:r>
      <w:r w:rsidR="00F1416F" w:rsidRPr="007337C6">
        <w:rPr>
          <w:rFonts w:ascii="Trebuchet MS" w:hAnsi="Trebuchet MS" w:cs="Arial"/>
          <w:sz w:val="20"/>
          <w:szCs w:val="20"/>
        </w:rPr>
        <w:t xml:space="preserve"> </w:t>
      </w:r>
      <w:r w:rsidRPr="007337C6">
        <w:rPr>
          <w:rFonts w:ascii="Trebuchet MS" w:hAnsi="Trebuchet MS" w:cs="Arial"/>
          <w:sz w:val="20"/>
          <w:szCs w:val="20"/>
        </w:rPr>
        <w:t xml:space="preserve">immediately after </w:t>
      </w:r>
      <w:r w:rsidR="00C407B1" w:rsidRPr="007337C6">
        <w:rPr>
          <w:rFonts w:ascii="Trebuchet MS" w:hAnsi="Trebuchet MS" w:cs="Arial"/>
          <w:sz w:val="20"/>
          <w:szCs w:val="20"/>
        </w:rPr>
        <w:t>the Transfer</w:t>
      </w:r>
      <w:r w:rsidRPr="007337C6">
        <w:rPr>
          <w:rFonts w:ascii="Trebuchet MS" w:hAnsi="Trebuchet MS" w:cs="Arial"/>
          <w:sz w:val="20"/>
          <w:szCs w:val="20"/>
        </w:rPr>
        <w:t xml:space="preserve"> which is accounted for in the Investment</w:t>
      </w:r>
      <w:r w:rsidR="00DD4F18" w:rsidRPr="007337C6">
        <w:rPr>
          <w:rStyle w:val="FootnoteReference"/>
          <w:rFonts w:ascii="Trebuchet MS" w:hAnsi="Trebuchet MS" w:cs="Arial"/>
          <w:sz w:val="20"/>
          <w:szCs w:val="20"/>
        </w:rPr>
        <w:footnoteReference w:id="9"/>
      </w:r>
      <w:r w:rsidRPr="007337C6">
        <w:rPr>
          <w:rFonts w:ascii="Trebuchet MS" w:hAnsi="Trebuchet MS" w:cs="Arial"/>
          <w:sz w:val="20"/>
          <w:szCs w:val="20"/>
        </w:rPr>
        <w:t xml:space="preserve"> line of the balance sheet in the table above.</w:t>
      </w:r>
      <w:r w:rsidR="00F1416F" w:rsidRPr="007337C6">
        <w:rPr>
          <w:rFonts w:ascii="Trebuchet MS" w:hAnsi="Trebuchet MS" w:cs="Arial"/>
          <w:sz w:val="20"/>
          <w:szCs w:val="20"/>
        </w:rPr>
        <w:t xml:space="preserve"> The second capital injection is provided by LGI dividend payment </w:t>
      </w:r>
      <w:r w:rsidR="00F12817">
        <w:rPr>
          <w:rFonts w:ascii="Trebuchet MS" w:hAnsi="Trebuchet MS" w:cs="Arial"/>
          <w:sz w:val="20"/>
          <w:szCs w:val="20"/>
        </w:rPr>
        <w:t xml:space="preserve">to </w:t>
      </w:r>
      <w:proofErr w:type="spellStart"/>
      <w:r w:rsidR="00F12817">
        <w:rPr>
          <w:rFonts w:ascii="Trebuchet MS" w:hAnsi="Trebuchet MS" w:cs="Arial"/>
          <w:sz w:val="20"/>
          <w:szCs w:val="20"/>
        </w:rPr>
        <w:t>TWGE</w:t>
      </w:r>
      <w:proofErr w:type="spellEnd"/>
      <w:r w:rsidR="00F12817">
        <w:rPr>
          <w:rFonts w:ascii="Trebuchet MS" w:hAnsi="Trebuchet MS" w:cs="Arial"/>
          <w:sz w:val="20"/>
          <w:szCs w:val="20"/>
        </w:rPr>
        <w:t xml:space="preserve"> which then makes a capital injection to AEI </w:t>
      </w:r>
      <w:r w:rsidR="00F1416F" w:rsidRPr="007337C6">
        <w:rPr>
          <w:rFonts w:ascii="Trebuchet MS" w:hAnsi="Trebuchet MS" w:cs="Arial"/>
          <w:sz w:val="20"/>
          <w:szCs w:val="20"/>
        </w:rPr>
        <w:t>while the first capital came from an existing fund</w:t>
      </w:r>
      <w:r w:rsidR="00470861">
        <w:rPr>
          <w:rFonts w:ascii="Trebuchet MS" w:hAnsi="Trebuchet MS" w:cs="Arial"/>
          <w:sz w:val="20"/>
          <w:szCs w:val="20"/>
        </w:rPr>
        <w:t>ing provided</w:t>
      </w:r>
      <w:r w:rsidR="00F1416F" w:rsidRPr="007337C6">
        <w:rPr>
          <w:rFonts w:ascii="Trebuchet MS" w:hAnsi="Trebuchet MS" w:cs="Arial"/>
          <w:sz w:val="20"/>
          <w:szCs w:val="20"/>
        </w:rPr>
        <w:t xml:space="preserve"> by the parent company and LGI in prior </w:t>
      </w:r>
      <w:proofErr w:type="gramStart"/>
      <w:r w:rsidR="00F1416F" w:rsidRPr="007337C6">
        <w:rPr>
          <w:rFonts w:ascii="Trebuchet MS" w:hAnsi="Trebuchet MS" w:cs="Arial"/>
          <w:sz w:val="20"/>
          <w:szCs w:val="20"/>
        </w:rPr>
        <w:t>years</w:t>
      </w:r>
      <w:proofErr w:type="gramEnd"/>
      <w:r w:rsidR="00F1416F" w:rsidRPr="007337C6">
        <w:rPr>
          <w:rFonts w:ascii="Trebuchet MS" w:hAnsi="Trebuchet MS" w:cs="Arial"/>
          <w:sz w:val="20"/>
          <w:szCs w:val="20"/>
        </w:rPr>
        <w:t xml:space="preserve"> dividend payments as explained in the initial report.</w:t>
      </w:r>
    </w:p>
    <w:p w14:paraId="2A2D721D" w14:textId="751DAE88" w:rsidR="00216317" w:rsidRDefault="004B653D" w:rsidP="0083430F">
      <w:pPr>
        <w:pStyle w:val="ListParagraph"/>
        <w:numPr>
          <w:ilvl w:val="0"/>
          <w:numId w:val="28"/>
        </w:numPr>
        <w:rPr>
          <w:rFonts w:ascii="Trebuchet MS" w:hAnsi="Trebuchet MS" w:cs="Arial"/>
          <w:sz w:val="20"/>
          <w:szCs w:val="20"/>
        </w:rPr>
      </w:pPr>
      <w:r w:rsidRPr="007337C6">
        <w:rPr>
          <w:rFonts w:ascii="Trebuchet MS" w:hAnsi="Trebuchet MS" w:cs="Arial"/>
          <w:sz w:val="20"/>
          <w:szCs w:val="20"/>
        </w:rPr>
        <w:t>AEI SCR ratio is 1</w:t>
      </w:r>
      <w:r w:rsidR="00013ACF" w:rsidRPr="007337C6">
        <w:rPr>
          <w:rFonts w:ascii="Trebuchet MS" w:hAnsi="Trebuchet MS" w:cs="Arial"/>
          <w:sz w:val="20"/>
          <w:szCs w:val="20"/>
        </w:rPr>
        <w:t>57</w:t>
      </w:r>
      <w:r w:rsidRPr="007337C6">
        <w:rPr>
          <w:rFonts w:ascii="Trebuchet MS" w:hAnsi="Trebuchet MS" w:cs="Arial"/>
          <w:sz w:val="20"/>
          <w:szCs w:val="20"/>
        </w:rPr>
        <w:t xml:space="preserve">% </w:t>
      </w:r>
      <w:r w:rsidR="002344CE" w:rsidRPr="007337C6">
        <w:rPr>
          <w:rFonts w:ascii="Trebuchet MS" w:hAnsi="Trebuchet MS" w:cs="Arial"/>
          <w:sz w:val="20"/>
          <w:szCs w:val="20"/>
        </w:rPr>
        <w:t>post Transfer</w:t>
      </w:r>
      <w:r w:rsidR="00E05921" w:rsidRPr="007337C6">
        <w:rPr>
          <w:rFonts w:ascii="Trebuchet MS" w:hAnsi="Trebuchet MS" w:cs="Arial"/>
          <w:sz w:val="20"/>
          <w:szCs w:val="20"/>
        </w:rPr>
        <w:t>. It was 1</w:t>
      </w:r>
      <w:r w:rsidR="00682F1B">
        <w:rPr>
          <w:rFonts w:ascii="Trebuchet MS" w:hAnsi="Trebuchet MS" w:cs="Arial"/>
          <w:sz w:val="20"/>
          <w:szCs w:val="20"/>
        </w:rPr>
        <w:t>54</w:t>
      </w:r>
      <w:r w:rsidR="00E05921" w:rsidRPr="007337C6">
        <w:rPr>
          <w:rFonts w:ascii="Trebuchet MS" w:hAnsi="Trebuchet MS" w:cs="Arial"/>
          <w:sz w:val="20"/>
          <w:szCs w:val="20"/>
        </w:rPr>
        <w:t>% in the initial report</w:t>
      </w:r>
      <w:r w:rsidR="002344CE" w:rsidRPr="007337C6">
        <w:rPr>
          <w:rFonts w:ascii="Trebuchet MS" w:hAnsi="Trebuchet MS" w:cs="Arial"/>
          <w:sz w:val="20"/>
          <w:szCs w:val="20"/>
        </w:rPr>
        <w:t xml:space="preserve">. Before </w:t>
      </w:r>
      <w:r w:rsidR="00C407B1" w:rsidRPr="007337C6">
        <w:rPr>
          <w:rFonts w:ascii="Trebuchet MS" w:hAnsi="Trebuchet MS" w:cs="Arial"/>
          <w:sz w:val="20"/>
          <w:szCs w:val="20"/>
        </w:rPr>
        <w:t>the Transfer</w:t>
      </w:r>
      <w:r w:rsidR="002344CE" w:rsidRPr="007337C6">
        <w:rPr>
          <w:rFonts w:ascii="Trebuchet MS" w:hAnsi="Trebuchet MS" w:cs="Arial"/>
          <w:sz w:val="20"/>
          <w:szCs w:val="20"/>
        </w:rPr>
        <w:t xml:space="preserve"> </w:t>
      </w:r>
      <w:r w:rsidR="00317B7E" w:rsidRPr="007337C6">
        <w:rPr>
          <w:rFonts w:ascii="Trebuchet MS" w:hAnsi="Trebuchet MS" w:cs="Arial"/>
          <w:sz w:val="20"/>
          <w:szCs w:val="20"/>
        </w:rPr>
        <w:t>AEI did not have any liability</w:t>
      </w:r>
      <w:r w:rsidR="00FD34E6">
        <w:rPr>
          <w:rFonts w:ascii="Trebuchet MS" w:hAnsi="Trebuchet MS" w:cs="Arial"/>
          <w:sz w:val="20"/>
          <w:szCs w:val="20"/>
        </w:rPr>
        <w:t xml:space="preserve"> (on the “As if” basis)</w:t>
      </w:r>
      <w:r w:rsidR="00317B7E" w:rsidRPr="007337C6">
        <w:rPr>
          <w:rFonts w:ascii="Trebuchet MS" w:hAnsi="Trebuchet MS" w:cs="Arial"/>
          <w:sz w:val="20"/>
          <w:szCs w:val="20"/>
        </w:rPr>
        <w:t>, hence no SCR.</w:t>
      </w:r>
    </w:p>
    <w:p w14:paraId="28F2BB59" w14:textId="08EB396B" w:rsidR="00BC588C" w:rsidRPr="00ED58A9" w:rsidRDefault="00216317" w:rsidP="00ED58A9">
      <w:pPr>
        <w:pStyle w:val="ListParagraph"/>
        <w:numPr>
          <w:ilvl w:val="0"/>
          <w:numId w:val="28"/>
        </w:numPr>
        <w:rPr>
          <w:rFonts w:ascii="Trebuchet MS" w:hAnsi="Trebuchet MS" w:cs="Arial"/>
          <w:sz w:val="20"/>
          <w:szCs w:val="20"/>
        </w:rPr>
      </w:pPr>
      <w:r>
        <w:rPr>
          <w:rFonts w:ascii="Trebuchet MS" w:hAnsi="Trebuchet MS" w:cs="Arial"/>
          <w:sz w:val="20"/>
          <w:szCs w:val="20"/>
        </w:rPr>
        <w:t>T</w:t>
      </w:r>
      <w:r w:rsidR="005D1D0F" w:rsidRPr="00882423">
        <w:rPr>
          <w:rFonts w:ascii="Trebuchet MS" w:hAnsi="Trebuchet MS" w:cs="Arial"/>
          <w:sz w:val="20"/>
          <w:szCs w:val="20"/>
        </w:rPr>
        <w:t xml:space="preserve">he financials in the table above assume that the dividend payment of £35m from LGI to </w:t>
      </w:r>
      <w:proofErr w:type="spellStart"/>
      <w:r w:rsidR="00F12817">
        <w:rPr>
          <w:rFonts w:ascii="Trebuchet MS" w:hAnsi="Trebuchet MS" w:cs="Arial"/>
          <w:sz w:val="20"/>
          <w:szCs w:val="20"/>
        </w:rPr>
        <w:t>TWGE</w:t>
      </w:r>
      <w:proofErr w:type="spellEnd"/>
      <w:r w:rsidR="00F12817">
        <w:rPr>
          <w:rFonts w:ascii="Trebuchet MS" w:hAnsi="Trebuchet MS" w:cs="Arial"/>
          <w:sz w:val="20"/>
          <w:szCs w:val="20"/>
        </w:rPr>
        <w:t xml:space="preserve"> to fund </w:t>
      </w:r>
      <w:r w:rsidR="005D1D0F" w:rsidRPr="00882423">
        <w:rPr>
          <w:rFonts w:ascii="Trebuchet MS" w:hAnsi="Trebuchet MS" w:cs="Arial"/>
          <w:sz w:val="20"/>
          <w:szCs w:val="20"/>
        </w:rPr>
        <w:t>AEI in column “</w:t>
      </w:r>
      <w:proofErr w:type="spellStart"/>
      <w:r w:rsidR="005D1D0F" w:rsidRPr="00882423">
        <w:rPr>
          <w:rFonts w:ascii="Trebuchet MS" w:hAnsi="Trebuchet MS" w:cs="Arial"/>
          <w:sz w:val="20"/>
          <w:szCs w:val="20"/>
        </w:rPr>
        <w:t>PVII</w:t>
      </w:r>
      <w:proofErr w:type="spellEnd"/>
      <w:r w:rsidR="005D1D0F" w:rsidRPr="00882423">
        <w:rPr>
          <w:rFonts w:ascii="Trebuchet MS" w:hAnsi="Trebuchet MS" w:cs="Arial"/>
          <w:sz w:val="20"/>
          <w:szCs w:val="20"/>
        </w:rPr>
        <w:t xml:space="preserve"> </w:t>
      </w:r>
      <w:proofErr w:type="spellStart"/>
      <w:r w:rsidR="005D1D0F" w:rsidRPr="00882423">
        <w:rPr>
          <w:rFonts w:ascii="Trebuchet MS" w:hAnsi="Trebuchet MS" w:cs="Arial"/>
          <w:sz w:val="20"/>
          <w:szCs w:val="20"/>
        </w:rPr>
        <w:t>Sh</w:t>
      </w:r>
      <w:proofErr w:type="spellEnd"/>
      <w:r w:rsidR="005D1D0F" w:rsidRPr="00882423">
        <w:rPr>
          <w:rFonts w:ascii="Trebuchet MS" w:hAnsi="Trebuchet MS" w:cs="Arial"/>
          <w:sz w:val="20"/>
          <w:szCs w:val="20"/>
        </w:rPr>
        <w:t xml:space="preserve"> Cap </w:t>
      </w:r>
      <w:proofErr w:type="spellStart"/>
      <w:r w:rsidR="005D1D0F" w:rsidRPr="00882423">
        <w:rPr>
          <w:rFonts w:ascii="Trebuchet MS" w:hAnsi="Trebuchet MS" w:cs="Arial"/>
          <w:sz w:val="20"/>
          <w:szCs w:val="20"/>
        </w:rPr>
        <w:t>Inj</w:t>
      </w:r>
      <w:proofErr w:type="spellEnd"/>
      <w:r w:rsidR="005D1D0F" w:rsidRPr="00882423">
        <w:rPr>
          <w:rFonts w:ascii="Trebuchet MS" w:hAnsi="Trebuchet MS" w:cs="Arial"/>
          <w:sz w:val="20"/>
          <w:szCs w:val="20"/>
        </w:rPr>
        <w:t xml:space="preserve">” takes place on the day of the Transfer. </w:t>
      </w:r>
      <w:r w:rsidR="006B70FD" w:rsidRPr="00882423">
        <w:rPr>
          <w:rFonts w:ascii="Trebuchet MS" w:hAnsi="Trebuchet MS" w:cs="Arial"/>
          <w:sz w:val="20"/>
          <w:szCs w:val="20"/>
        </w:rPr>
        <w:t xml:space="preserve">However, practically, the dividend </w:t>
      </w:r>
      <w:r w:rsidR="00F12817">
        <w:rPr>
          <w:rFonts w:ascii="Trebuchet MS" w:hAnsi="Trebuchet MS" w:cs="Arial"/>
          <w:sz w:val="20"/>
          <w:szCs w:val="20"/>
        </w:rPr>
        <w:t>has been</w:t>
      </w:r>
      <w:r w:rsidR="006B70FD" w:rsidRPr="00882423">
        <w:rPr>
          <w:rFonts w:ascii="Trebuchet MS" w:hAnsi="Trebuchet MS" w:cs="Arial"/>
          <w:sz w:val="20"/>
          <w:szCs w:val="20"/>
        </w:rPr>
        <w:t xml:space="preserve"> </w:t>
      </w:r>
      <w:proofErr w:type="gramStart"/>
      <w:r w:rsidR="006B70FD" w:rsidRPr="00882423">
        <w:rPr>
          <w:rFonts w:ascii="Trebuchet MS" w:hAnsi="Trebuchet MS" w:cs="Arial"/>
          <w:sz w:val="20"/>
          <w:szCs w:val="20"/>
        </w:rPr>
        <w:t>be</w:t>
      </w:r>
      <w:proofErr w:type="gramEnd"/>
      <w:r w:rsidR="006B70FD" w:rsidRPr="00882423">
        <w:rPr>
          <w:rFonts w:ascii="Trebuchet MS" w:hAnsi="Trebuchet MS" w:cs="Arial"/>
          <w:sz w:val="20"/>
          <w:szCs w:val="20"/>
        </w:rPr>
        <w:t xml:space="preserve"> paid </w:t>
      </w:r>
      <w:r w:rsidR="00F12817">
        <w:rPr>
          <w:rFonts w:ascii="Trebuchet MS" w:hAnsi="Trebuchet MS" w:cs="Arial"/>
          <w:sz w:val="20"/>
          <w:szCs w:val="20"/>
        </w:rPr>
        <w:t xml:space="preserve">in September, well </w:t>
      </w:r>
      <w:r w:rsidR="006B70FD" w:rsidRPr="00882423">
        <w:rPr>
          <w:rFonts w:ascii="Trebuchet MS" w:hAnsi="Trebuchet MS" w:cs="Arial"/>
          <w:sz w:val="20"/>
          <w:szCs w:val="20"/>
        </w:rPr>
        <w:t xml:space="preserve">before the Transfer, </w:t>
      </w:r>
      <w:r w:rsidR="00F12817">
        <w:rPr>
          <w:rFonts w:ascii="Trebuchet MS" w:hAnsi="Trebuchet MS" w:cs="Arial"/>
          <w:sz w:val="20"/>
          <w:szCs w:val="20"/>
        </w:rPr>
        <w:t>and</w:t>
      </w:r>
      <w:r w:rsidR="006B70FD" w:rsidRPr="00882423">
        <w:rPr>
          <w:rFonts w:ascii="Trebuchet MS" w:hAnsi="Trebuchet MS" w:cs="Arial"/>
          <w:sz w:val="20"/>
          <w:szCs w:val="20"/>
        </w:rPr>
        <w:t xml:space="preserve"> the “Before Transfer” financials shown in the tables above </w:t>
      </w:r>
      <w:r w:rsidR="00F12817">
        <w:rPr>
          <w:rFonts w:ascii="Trebuchet MS" w:hAnsi="Trebuchet MS" w:cs="Arial"/>
          <w:sz w:val="20"/>
          <w:szCs w:val="20"/>
        </w:rPr>
        <w:t>are</w:t>
      </w:r>
      <w:r w:rsidR="006B70FD" w:rsidRPr="00882423">
        <w:rPr>
          <w:rFonts w:ascii="Trebuchet MS" w:hAnsi="Trebuchet MS" w:cs="Arial"/>
          <w:sz w:val="20"/>
          <w:szCs w:val="20"/>
        </w:rPr>
        <w:t xml:space="preserve"> expected to be higher.  Note, that such a pre-payment would be </w:t>
      </w:r>
      <w:proofErr w:type="spellStart"/>
      <w:r w:rsidR="006B70FD" w:rsidRPr="00882423">
        <w:rPr>
          <w:rFonts w:ascii="Trebuchet MS" w:hAnsi="Trebuchet MS" w:cs="Arial"/>
          <w:sz w:val="20"/>
          <w:szCs w:val="20"/>
        </w:rPr>
        <w:t>reversable</w:t>
      </w:r>
      <w:proofErr w:type="spellEnd"/>
      <w:r w:rsidR="006B70FD" w:rsidRPr="00882423">
        <w:rPr>
          <w:rFonts w:ascii="Trebuchet MS" w:hAnsi="Trebuchet MS" w:cs="Arial"/>
          <w:sz w:val="20"/>
          <w:szCs w:val="20"/>
        </w:rPr>
        <w:t xml:space="preserve"> if Court approval is not forthcoming.</w:t>
      </w:r>
      <w:r w:rsidR="005D1D0F" w:rsidRPr="00882423">
        <w:rPr>
          <w:rFonts w:ascii="Trebuchet MS" w:hAnsi="Trebuchet MS" w:cs="Arial"/>
          <w:sz w:val="20"/>
          <w:szCs w:val="20"/>
        </w:rPr>
        <w:t xml:space="preserve"> </w:t>
      </w:r>
    </w:p>
    <w:p w14:paraId="4955C076" w14:textId="77777777" w:rsidR="0099351F" w:rsidRPr="007337C6" w:rsidRDefault="0099351F" w:rsidP="0083430F">
      <w:pPr>
        <w:rPr>
          <w:rFonts w:ascii="Trebuchet MS" w:hAnsi="Trebuchet MS" w:cs="Arial"/>
          <w:b/>
          <w:bCs/>
          <w:sz w:val="20"/>
          <w:szCs w:val="20"/>
          <w:u w:val="single"/>
        </w:rPr>
      </w:pPr>
      <w:r w:rsidRPr="007337C6">
        <w:rPr>
          <w:rFonts w:ascii="Trebuchet MS" w:hAnsi="Trebuchet MS" w:cs="Arial"/>
          <w:b/>
          <w:bCs/>
          <w:sz w:val="20"/>
          <w:szCs w:val="20"/>
          <w:u w:val="single"/>
        </w:rPr>
        <w:t>Conclusion</w:t>
      </w:r>
    </w:p>
    <w:p w14:paraId="2BAD3FD1" w14:textId="11CE9972" w:rsidR="0007005C" w:rsidRDefault="00485908" w:rsidP="0083430F">
      <w:pPr>
        <w:rPr>
          <w:rFonts w:ascii="Trebuchet MS" w:hAnsi="Trebuchet MS" w:cs="Arial"/>
          <w:sz w:val="20"/>
          <w:szCs w:val="20"/>
        </w:rPr>
      </w:pPr>
      <w:r>
        <w:rPr>
          <w:rFonts w:ascii="Trebuchet MS" w:hAnsi="Trebuchet MS" w:cs="Arial"/>
          <w:sz w:val="20"/>
          <w:szCs w:val="20"/>
        </w:rPr>
        <w:t>A</w:t>
      </w:r>
      <w:r w:rsidR="0099351F" w:rsidRPr="007337C6">
        <w:rPr>
          <w:rFonts w:ascii="Trebuchet MS" w:hAnsi="Trebuchet MS" w:cs="Arial"/>
          <w:sz w:val="20"/>
          <w:szCs w:val="20"/>
        </w:rPr>
        <w:t xml:space="preserve">s it can be seen in the table below, the capitalisation of AGIL, LGI and AEI, pre and post Transfer is </w:t>
      </w:r>
      <w:proofErr w:type="gramStart"/>
      <w:r w:rsidR="0099351F" w:rsidRPr="007337C6">
        <w:rPr>
          <w:rFonts w:ascii="Trebuchet MS" w:hAnsi="Trebuchet MS" w:cs="Arial"/>
          <w:sz w:val="20"/>
          <w:szCs w:val="20"/>
        </w:rPr>
        <w:t>strong,</w:t>
      </w:r>
      <w:proofErr w:type="gramEnd"/>
      <w:r w:rsidR="0099351F" w:rsidRPr="007337C6">
        <w:rPr>
          <w:rFonts w:ascii="Trebuchet MS" w:hAnsi="Trebuchet MS" w:cs="Arial"/>
          <w:sz w:val="20"/>
          <w:szCs w:val="20"/>
        </w:rPr>
        <w:t xml:space="preserve"> all ratios are above 100% and above their individual target buffers.</w:t>
      </w:r>
    </w:p>
    <w:p w14:paraId="3AEB30C3" w14:textId="6BBA7710" w:rsidR="00485908" w:rsidRDefault="00485908" w:rsidP="0083430F">
      <w:pPr>
        <w:rPr>
          <w:rFonts w:ascii="Trebuchet MS" w:hAnsi="Trebuchet MS" w:cs="Arial"/>
          <w:sz w:val="20"/>
          <w:szCs w:val="20"/>
        </w:rPr>
      </w:pPr>
    </w:p>
    <w:p w14:paraId="6B7692ED" w14:textId="77777777" w:rsidR="00485908" w:rsidRPr="007337C6" w:rsidRDefault="00485908" w:rsidP="0083430F">
      <w:pPr>
        <w:rPr>
          <w:rFonts w:ascii="Trebuchet MS" w:hAnsi="Trebuchet MS" w:cs="Arial"/>
          <w:sz w:val="20"/>
          <w:szCs w:val="20"/>
        </w:rPr>
      </w:pPr>
    </w:p>
    <w:tbl>
      <w:tblPr>
        <w:tblW w:w="10385" w:type="dxa"/>
        <w:tblLook w:val="04A0" w:firstRow="1" w:lastRow="0" w:firstColumn="1" w:lastColumn="0" w:noHBand="0" w:noVBand="1"/>
      </w:tblPr>
      <w:tblGrid>
        <w:gridCol w:w="909"/>
        <w:gridCol w:w="1747"/>
        <w:gridCol w:w="1075"/>
        <w:gridCol w:w="223"/>
        <w:gridCol w:w="715"/>
        <w:gridCol w:w="1342"/>
        <w:gridCol w:w="1075"/>
        <w:gridCol w:w="223"/>
        <w:gridCol w:w="715"/>
        <w:gridCol w:w="1286"/>
        <w:gridCol w:w="1075"/>
      </w:tblGrid>
      <w:tr w:rsidR="00775262" w:rsidRPr="007337C6" w14:paraId="2865E9B2" w14:textId="77777777" w:rsidTr="00C527D2">
        <w:trPr>
          <w:trHeight w:val="280"/>
        </w:trPr>
        <w:tc>
          <w:tcPr>
            <w:tcW w:w="3731" w:type="dxa"/>
            <w:gridSpan w:val="3"/>
            <w:tcBorders>
              <w:top w:val="nil"/>
              <w:left w:val="nil"/>
              <w:bottom w:val="nil"/>
              <w:right w:val="nil"/>
            </w:tcBorders>
            <w:shd w:val="clear" w:color="000000" w:fill="44546A"/>
            <w:noWrap/>
            <w:vAlign w:val="bottom"/>
            <w:hideMark/>
          </w:tcPr>
          <w:p w14:paraId="5FA9F8D2" w14:textId="10308748" w:rsidR="00775262" w:rsidRPr="007337C6" w:rsidRDefault="00775262" w:rsidP="0099351F">
            <w:pPr>
              <w:spacing w:after="0" w:line="240" w:lineRule="auto"/>
              <w:rPr>
                <w:rFonts w:ascii="Trebuchet MS" w:eastAsia="Times New Roman" w:hAnsi="Trebuchet MS" w:cs="Calibri"/>
                <w:color w:val="FFFFFF"/>
                <w:sz w:val="20"/>
                <w:szCs w:val="20"/>
                <w:lang w:eastAsia="en-GB"/>
              </w:rPr>
            </w:pPr>
            <w:r w:rsidRPr="007337C6">
              <w:rPr>
                <w:rFonts w:ascii="Trebuchet MS" w:eastAsia="Times New Roman" w:hAnsi="Trebuchet MS" w:cs="Calibri"/>
                <w:b/>
                <w:bCs/>
                <w:color w:val="FFFFFF"/>
                <w:sz w:val="20"/>
                <w:szCs w:val="20"/>
                <w:lang w:eastAsia="en-GB"/>
              </w:rPr>
              <w:lastRenderedPageBreak/>
              <w:t xml:space="preserve">4Q 19 No </w:t>
            </w:r>
            <w:r>
              <w:rPr>
                <w:rFonts w:ascii="Trebuchet MS" w:eastAsia="Times New Roman" w:hAnsi="Trebuchet MS" w:cs="Calibri"/>
                <w:b/>
                <w:bCs/>
                <w:color w:val="FFFFFF"/>
                <w:sz w:val="20"/>
                <w:szCs w:val="20"/>
                <w:lang w:eastAsia="en-GB"/>
              </w:rPr>
              <w:t>COVID-19</w:t>
            </w:r>
          </w:p>
        </w:tc>
        <w:tc>
          <w:tcPr>
            <w:tcW w:w="223" w:type="dxa"/>
            <w:tcBorders>
              <w:top w:val="nil"/>
              <w:left w:val="nil"/>
              <w:bottom w:val="nil"/>
              <w:right w:val="nil"/>
            </w:tcBorders>
            <w:shd w:val="clear" w:color="auto" w:fill="auto"/>
            <w:noWrap/>
            <w:vAlign w:val="bottom"/>
            <w:hideMark/>
          </w:tcPr>
          <w:p w14:paraId="16BB8734" w14:textId="77777777" w:rsidR="00775262" w:rsidRPr="007337C6" w:rsidRDefault="00775262" w:rsidP="0099351F">
            <w:pPr>
              <w:spacing w:after="0" w:line="240" w:lineRule="auto"/>
              <w:rPr>
                <w:rFonts w:ascii="Trebuchet MS" w:eastAsia="Times New Roman" w:hAnsi="Trebuchet MS" w:cs="Calibri"/>
                <w:color w:val="FFFFFF"/>
                <w:sz w:val="20"/>
                <w:szCs w:val="20"/>
                <w:lang w:eastAsia="en-GB"/>
              </w:rPr>
            </w:pPr>
          </w:p>
        </w:tc>
        <w:tc>
          <w:tcPr>
            <w:tcW w:w="2057" w:type="dxa"/>
            <w:gridSpan w:val="2"/>
            <w:tcBorders>
              <w:top w:val="nil"/>
              <w:left w:val="nil"/>
              <w:bottom w:val="nil"/>
              <w:right w:val="nil"/>
            </w:tcBorders>
            <w:shd w:val="clear" w:color="000000" w:fill="44546A"/>
            <w:noWrap/>
            <w:vAlign w:val="bottom"/>
            <w:hideMark/>
          </w:tcPr>
          <w:p w14:paraId="333E937C" w14:textId="7CEE47C3" w:rsidR="00775262" w:rsidRPr="007337C6" w:rsidRDefault="00775262" w:rsidP="0099351F">
            <w:pPr>
              <w:spacing w:after="0" w:line="240" w:lineRule="auto"/>
              <w:rPr>
                <w:rFonts w:ascii="Trebuchet MS" w:eastAsia="Times New Roman" w:hAnsi="Trebuchet MS" w:cs="Calibri"/>
                <w:b/>
                <w:bCs/>
                <w:color w:val="FFFFFF"/>
                <w:sz w:val="20"/>
                <w:szCs w:val="20"/>
                <w:lang w:eastAsia="en-GB"/>
              </w:rPr>
            </w:pPr>
            <w:r w:rsidRPr="007337C6">
              <w:rPr>
                <w:rFonts w:ascii="Trebuchet MS" w:eastAsia="Times New Roman" w:hAnsi="Trebuchet MS" w:cs="Calibri"/>
                <w:b/>
                <w:bCs/>
                <w:color w:val="FFFFFF"/>
                <w:sz w:val="20"/>
                <w:szCs w:val="20"/>
                <w:lang w:eastAsia="en-GB"/>
              </w:rPr>
              <w:t xml:space="preserve">4Q 19 No </w:t>
            </w:r>
            <w:r>
              <w:rPr>
                <w:rFonts w:ascii="Trebuchet MS" w:eastAsia="Times New Roman" w:hAnsi="Trebuchet MS" w:cs="Calibri"/>
                <w:b/>
                <w:bCs/>
                <w:color w:val="FFFFFF"/>
                <w:sz w:val="20"/>
                <w:szCs w:val="20"/>
                <w:lang w:eastAsia="en-GB"/>
              </w:rPr>
              <w:t>COVID-19</w:t>
            </w:r>
          </w:p>
        </w:tc>
        <w:tc>
          <w:tcPr>
            <w:tcW w:w="1075" w:type="dxa"/>
            <w:tcBorders>
              <w:top w:val="nil"/>
              <w:left w:val="nil"/>
              <w:bottom w:val="nil"/>
              <w:right w:val="nil"/>
            </w:tcBorders>
            <w:shd w:val="clear" w:color="000000" w:fill="44546A"/>
            <w:noWrap/>
            <w:vAlign w:val="bottom"/>
            <w:hideMark/>
          </w:tcPr>
          <w:p w14:paraId="02ACBB5E" w14:textId="77777777" w:rsidR="00775262" w:rsidRPr="007337C6" w:rsidRDefault="00775262" w:rsidP="0099351F">
            <w:pPr>
              <w:spacing w:after="0" w:line="240" w:lineRule="auto"/>
              <w:rPr>
                <w:rFonts w:ascii="Trebuchet MS" w:eastAsia="Times New Roman" w:hAnsi="Trebuchet MS" w:cs="Calibri"/>
                <w:color w:val="FFFFFF"/>
                <w:sz w:val="20"/>
                <w:szCs w:val="20"/>
                <w:lang w:eastAsia="en-GB"/>
              </w:rPr>
            </w:pPr>
            <w:r w:rsidRPr="007337C6">
              <w:rPr>
                <w:rFonts w:ascii="Trebuchet MS" w:eastAsia="Times New Roman" w:hAnsi="Trebuchet MS" w:cs="Calibri"/>
                <w:color w:val="FFFFFF"/>
                <w:sz w:val="20"/>
                <w:szCs w:val="20"/>
                <w:lang w:eastAsia="en-GB"/>
              </w:rPr>
              <w:t> </w:t>
            </w:r>
          </w:p>
        </w:tc>
        <w:tc>
          <w:tcPr>
            <w:tcW w:w="223" w:type="dxa"/>
            <w:tcBorders>
              <w:top w:val="nil"/>
              <w:left w:val="nil"/>
              <w:bottom w:val="nil"/>
              <w:right w:val="nil"/>
            </w:tcBorders>
            <w:shd w:val="clear" w:color="auto" w:fill="auto"/>
            <w:noWrap/>
            <w:vAlign w:val="bottom"/>
            <w:hideMark/>
          </w:tcPr>
          <w:p w14:paraId="379CA4EB" w14:textId="77777777" w:rsidR="00775262" w:rsidRPr="007337C6" w:rsidRDefault="00775262" w:rsidP="0099351F">
            <w:pPr>
              <w:spacing w:after="0" w:line="240" w:lineRule="auto"/>
              <w:rPr>
                <w:rFonts w:ascii="Trebuchet MS" w:eastAsia="Times New Roman" w:hAnsi="Trebuchet MS" w:cs="Calibri"/>
                <w:color w:val="FFFFFF"/>
                <w:sz w:val="20"/>
                <w:szCs w:val="20"/>
                <w:lang w:eastAsia="en-GB"/>
              </w:rPr>
            </w:pPr>
          </w:p>
        </w:tc>
        <w:tc>
          <w:tcPr>
            <w:tcW w:w="3076" w:type="dxa"/>
            <w:gridSpan w:val="3"/>
            <w:tcBorders>
              <w:top w:val="nil"/>
              <w:left w:val="nil"/>
              <w:bottom w:val="nil"/>
              <w:right w:val="nil"/>
            </w:tcBorders>
            <w:shd w:val="clear" w:color="000000" w:fill="44546A"/>
            <w:noWrap/>
            <w:vAlign w:val="bottom"/>
            <w:hideMark/>
          </w:tcPr>
          <w:p w14:paraId="4938F042" w14:textId="3381AF32" w:rsidR="00775262" w:rsidRPr="007337C6" w:rsidRDefault="00775262">
            <w:pPr>
              <w:spacing w:after="0" w:line="240" w:lineRule="auto"/>
              <w:rPr>
                <w:rFonts w:ascii="Trebuchet MS" w:eastAsia="Times New Roman" w:hAnsi="Trebuchet MS" w:cs="Calibri"/>
                <w:color w:val="FFFFFF"/>
                <w:sz w:val="20"/>
                <w:szCs w:val="20"/>
                <w:lang w:eastAsia="en-GB"/>
              </w:rPr>
            </w:pPr>
            <w:r w:rsidRPr="00617B33">
              <w:rPr>
                <w:rFonts w:ascii="Trebuchet MS" w:eastAsia="Times New Roman" w:hAnsi="Trebuchet MS" w:cs="Calibri"/>
                <w:b/>
                <w:bCs/>
                <w:color w:val="FFFFFF"/>
                <w:sz w:val="20"/>
                <w:szCs w:val="20"/>
                <w:lang w:eastAsia="en-GB"/>
              </w:rPr>
              <w:t>4Q 19 No COVID-19</w:t>
            </w:r>
          </w:p>
        </w:tc>
      </w:tr>
      <w:tr w:rsidR="0099351F" w:rsidRPr="007337C6" w14:paraId="53F65727" w14:textId="77777777" w:rsidTr="00C527D2">
        <w:trPr>
          <w:trHeight w:val="312"/>
        </w:trPr>
        <w:tc>
          <w:tcPr>
            <w:tcW w:w="909" w:type="dxa"/>
            <w:tcBorders>
              <w:top w:val="nil"/>
              <w:left w:val="nil"/>
              <w:bottom w:val="nil"/>
              <w:right w:val="nil"/>
            </w:tcBorders>
            <w:shd w:val="clear" w:color="auto" w:fill="auto"/>
            <w:noWrap/>
            <w:vAlign w:val="center"/>
            <w:hideMark/>
          </w:tcPr>
          <w:p w14:paraId="68C323B5" w14:textId="77777777" w:rsidR="0099351F" w:rsidRPr="007337C6" w:rsidRDefault="0099351F" w:rsidP="0099351F">
            <w:pPr>
              <w:spacing w:after="0" w:line="240" w:lineRule="auto"/>
              <w:rPr>
                <w:rFonts w:ascii="Trebuchet MS" w:eastAsia="Times New Roman" w:hAnsi="Trebuchet MS" w:cs="Times New Roman"/>
                <w:b/>
                <w:bCs/>
                <w:color w:val="000000"/>
                <w:sz w:val="24"/>
                <w:szCs w:val="24"/>
                <w:lang w:eastAsia="en-GB"/>
              </w:rPr>
            </w:pPr>
            <w:r w:rsidRPr="007337C6">
              <w:rPr>
                <w:rFonts w:ascii="Trebuchet MS" w:eastAsia="Times New Roman" w:hAnsi="Trebuchet MS" w:cs="Times New Roman"/>
                <w:b/>
                <w:bCs/>
                <w:color w:val="000000"/>
                <w:sz w:val="24"/>
                <w:szCs w:val="24"/>
                <w:lang w:eastAsia="en-GB"/>
              </w:rPr>
              <w:t>AGIL</w:t>
            </w:r>
          </w:p>
        </w:tc>
        <w:tc>
          <w:tcPr>
            <w:tcW w:w="1747" w:type="dxa"/>
            <w:tcBorders>
              <w:top w:val="single" w:sz="8" w:space="0" w:color="0070C0"/>
              <w:left w:val="nil"/>
              <w:bottom w:val="nil"/>
              <w:right w:val="nil"/>
            </w:tcBorders>
            <w:shd w:val="clear" w:color="auto" w:fill="auto"/>
            <w:noWrap/>
            <w:vAlign w:val="center"/>
            <w:hideMark/>
          </w:tcPr>
          <w:p w14:paraId="3F0CE405" w14:textId="77777777" w:rsidR="0099351F" w:rsidRPr="007337C6" w:rsidRDefault="0099351F" w:rsidP="0099351F">
            <w:pPr>
              <w:spacing w:after="0" w:line="240" w:lineRule="auto"/>
              <w:jc w:val="right"/>
              <w:rPr>
                <w:rFonts w:ascii="Trebuchet MS" w:eastAsia="Times New Roman" w:hAnsi="Trebuchet MS" w:cs="Calibri"/>
                <w:color w:val="0070C0"/>
                <w:sz w:val="18"/>
                <w:szCs w:val="18"/>
                <w:lang w:eastAsia="en-GB"/>
              </w:rPr>
            </w:pPr>
            <w:r w:rsidRPr="007337C6">
              <w:rPr>
                <w:rFonts w:ascii="Trebuchet MS" w:eastAsia="Times New Roman" w:hAnsi="Trebuchet MS" w:cs="Calibri"/>
                <w:color w:val="0070C0"/>
                <w:sz w:val="18"/>
                <w:szCs w:val="18"/>
                <w:lang w:eastAsia="en-GB"/>
              </w:rPr>
              <w:t xml:space="preserve">Before </w:t>
            </w:r>
          </w:p>
          <w:p w14:paraId="213DD2FD" w14:textId="1A271148" w:rsidR="0099351F" w:rsidRPr="007337C6" w:rsidRDefault="00C129E1" w:rsidP="0099351F">
            <w:pPr>
              <w:spacing w:after="0" w:line="240" w:lineRule="auto"/>
              <w:jc w:val="right"/>
              <w:rPr>
                <w:rFonts w:ascii="Trebuchet MS" w:eastAsia="Times New Roman" w:hAnsi="Trebuchet MS" w:cs="Calibri"/>
                <w:color w:val="0070C0"/>
                <w:sz w:val="18"/>
                <w:szCs w:val="18"/>
                <w:lang w:eastAsia="en-GB"/>
              </w:rPr>
            </w:pPr>
            <w:r w:rsidRPr="007337C6">
              <w:rPr>
                <w:rFonts w:ascii="Trebuchet MS" w:eastAsia="Times New Roman" w:hAnsi="Trebuchet MS" w:cs="Calibri"/>
                <w:color w:val="0070C0"/>
                <w:sz w:val="18"/>
                <w:szCs w:val="18"/>
                <w:lang w:eastAsia="en-GB"/>
              </w:rPr>
              <w:t>Transfer</w:t>
            </w:r>
          </w:p>
        </w:tc>
        <w:tc>
          <w:tcPr>
            <w:tcW w:w="1075" w:type="dxa"/>
            <w:tcBorders>
              <w:top w:val="single" w:sz="8" w:space="0" w:color="0070C0"/>
              <w:left w:val="nil"/>
              <w:bottom w:val="nil"/>
              <w:right w:val="nil"/>
            </w:tcBorders>
            <w:shd w:val="clear" w:color="auto" w:fill="auto"/>
            <w:noWrap/>
            <w:vAlign w:val="center"/>
            <w:hideMark/>
          </w:tcPr>
          <w:p w14:paraId="5BD3ED87" w14:textId="5D076CF8" w:rsidR="0099351F" w:rsidRPr="007337C6" w:rsidRDefault="0099351F" w:rsidP="0099351F">
            <w:pPr>
              <w:spacing w:after="0" w:line="240" w:lineRule="auto"/>
              <w:jc w:val="right"/>
              <w:rPr>
                <w:rFonts w:ascii="Trebuchet MS" w:eastAsia="Times New Roman" w:hAnsi="Trebuchet MS" w:cs="Calibri"/>
                <w:color w:val="0070C0"/>
                <w:sz w:val="18"/>
                <w:szCs w:val="18"/>
                <w:lang w:eastAsia="en-GB"/>
              </w:rPr>
            </w:pPr>
            <w:r w:rsidRPr="007337C6">
              <w:rPr>
                <w:rFonts w:ascii="Trebuchet MS" w:eastAsia="Times New Roman" w:hAnsi="Trebuchet MS" w:cs="Calibri"/>
                <w:color w:val="0070C0"/>
                <w:sz w:val="18"/>
                <w:szCs w:val="18"/>
                <w:lang w:eastAsia="en-GB"/>
              </w:rPr>
              <w:t xml:space="preserve">After </w:t>
            </w:r>
            <w:r w:rsidR="00C129E1" w:rsidRPr="007337C6">
              <w:rPr>
                <w:rFonts w:ascii="Trebuchet MS" w:eastAsia="Times New Roman" w:hAnsi="Trebuchet MS" w:cs="Calibri"/>
                <w:color w:val="0070C0"/>
                <w:sz w:val="18"/>
                <w:szCs w:val="18"/>
                <w:lang w:eastAsia="en-GB"/>
              </w:rPr>
              <w:t>Transfer</w:t>
            </w:r>
          </w:p>
        </w:tc>
        <w:tc>
          <w:tcPr>
            <w:tcW w:w="223" w:type="dxa"/>
            <w:tcBorders>
              <w:top w:val="nil"/>
              <w:left w:val="nil"/>
              <w:bottom w:val="nil"/>
              <w:right w:val="nil"/>
            </w:tcBorders>
            <w:shd w:val="clear" w:color="auto" w:fill="auto"/>
            <w:noWrap/>
            <w:vAlign w:val="bottom"/>
            <w:hideMark/>
          </w:tcPr>
          <w:p w14:paraId="6C4C4808" w14:textId="77777777" w:rsidR="0099351F" w:rsidRPr="007337C6" w:rsidRDefault="0099351F" w:rsidP="0099351F">
            <w:pPr>
              <w:spacing w:after="0" w:line="240" w:lineRule="auto"/>
              <w:rPr>
                <w:rFonts w:ascii="Trebuchet MS" w:eastAsia="Times New Roman" w:hAnsi="Trebuchet MS" w:cs="Calibri"/>
                <w:color w:val="0070C0"/>
                <w:sz w:val="18"/>
                <w:szCs w:val="18"/>
                <w:lang w:eastAsia="en-GB"/>
              </w:rPr>
            </w:pPr>
          </w:p>
        </w:tc>
        <w:tc>
          <w:tcPr>
            <w:tcW w:w="715" w:type="dxa"/>
            <w:tcBorders>
              <w:top w:val="nil"/>
              <w:left w:val="nil"/>
              <w:bottom w:val="nil"/>
              <w:right w:val="nil"/>
            </w:tcBorders>
            <w:shd w:val="clear" w:color="auto" w:fill="auto"/>
            <w:noWrap/>
            <w:vAlign w:val="center"/>
            <w:hideMark/>
          </w:tcPr>
          <w:p w14:paraId="45743BA4" w14:textId="77777777" w:rsidR="0099351F" w:rsidRPr="007337C6" w:rsidRDefault="0099351F" w:rsidP="0099351F">
            <w:pPr>
              <w:spacing w:after="0" w:line="240" w:lineRule="auto"/>
              <w:rPr>
                <w:rFonts w:ascii="Trebuchet MS" w:eastAsia="Times New Roman" w:hAnsi="Trebuchet MS" w:cs="Times New Roman"/>
                <w:b/>
                <w:bCs/>
                <w:color w:val="000000"/>
                <w:sz w:val="24"/>
                <w:szCs w:val="24"/>
                <w:lang w:eastAsia="en-GB"/>
              </w:rPr>
            </w:pPr>
            <w:r w:rsidRPr="007337C6">
              <w:rPr>
                <w:rFonts w:ascii="Trebuchet MS" w:eastAsia="Times New Roman" w:hAnsi="Trebuchet MS" w:cs="Times New Roman"/>
                <w:b/>
                <w:bCs/>
                <w:color w:val="000000"/>
                <w:sz w:val="24"/>
                <w:szCs w:val="24"/>
                <w:lang w:eastAsia="en-GB"/>
              </w:rPr>
              <w:t>LGI</w:t>
            </w:r>
          </w:p>
        </w:tc>
        <w:tc>
          <w:tcPr>
            <w:tcW w:w="1342" w:type="dxa"/>
            <w:tcBorders>
              <w:top w:val="single" w:sz="8" w:space="0" w:color="0070C0"/>
              <w:left w:val="nil"/>
              <w:bottom w:val="nil"/>
              <w:right w:val="nil"/>
            </w:tcBorders>
            <w:shd w:val="clear" w:color="auto" w:fill="auto"/>
            <w:noWrap/>
            <w:vAlign w:val="center"/>
            <w:hideMark/>
          </w:tcPr>
          <w:p w14:paraId="1720C93D" w14:textId="01E7AACD" w:rsidR="0099351F" w:rsidRPr="007337C6" w:rsidRDefault="0099351F" w:rsidP="0099351F">
            <w:pPr>
              <w:spacing w:after="0" w:line="240" w:lineRule="auto"/>
              <w:jc w:val="right"/>
              <w:rPr>
                <w:rFonts w:ascii="Trebuchet MS" w:eastAsia="Times New Roman" w:hAnsi="Trebuchet MS" w:cs="Calibri"/>
                <w:color w:val="0070C0"/>
                <w:sz w:val="18"/>
                <w:szCs w:val="18"/>
                <w:lang w:eastAsia="en-GB"/>
              </w:rPr>
            </w:pPr>
            <w:r w:rsidRPr="007337C6">
              <w:rPr>
                <w:rFonts w:ascii="Trebuchet MS" w:eastAsia="Times New Roman" w:hAnsi="Trebuchet MS" w:cs="Calibri"/>
                <w:color w:val="0070C0"/>
                <w:sz w:val="18"/>
                <w:szCs w:val="18"/>
                <w:lang w:eastAsia="en-GB"/>
              </w:rPr>
              <w:t xml:space="preserve">Before </w:t>
            </w:r>
            <w:r w:rsidR="00C129E1" w:rsidRPr="007337C6">
              <w:rPr>
                <w:rFonts w:ascii="Trebuchet MS" w:eastAsia="Times New Roman" w:hAnsi="Trebuchet MS" w:cs="Calibri"/>
                <w:color w:val="0070C0"/>
                <w:sz w:val="18"/>
                <w:szCs w:val="18"/>
                <w:lang w:eastAsia="en-GB"/>
              </w:rPr>
              <w:t>Transfer</w:t>
            </w:r>
          </w:p>
        </w:tc>
        <w:tc>
          <w:tcPr>
            <w:tcW w:w="1075" w:type="dxa"/>
            <w:tcBorders>
              <w:top w:val="single" w:sz="8" w:space="0" w:color="0070C0"/>
              <w:left w:val="nil"/>
              <w:bottom w:val="nil"/>
              <w:right w:val="nil"/>
            </w:tcBorders>
            <w:shd w:val="clear" w:color="auto" w:fill="auto"/>
            <w:noWrap/>
            <w:vAlign w:val="center"/>
            <w:hideMark/>
          </w:tcPr>
          <w:p w14:paraId="5FD4E7A6" w14:textId="4B816674" w:rsidR="0099351F" w:rsidRPr="007337C6" w:rsidRDefault="0099351F" w:rsidP="0099351F">
            <w:pPr>
              <w:spacing w:after="0" w:line="240" w:lineRule="auto"/>
              <w:jc w:val="right"/>
              <w:rPr>
                <w:rFonts w:ascii="Trebuchet MS" w:eastAsia="Times New Roman" w:hAnsi="Trebuchet MS" w:cs="Calibri"/>
                <w:color w:val="0070C0"/>
                <w:sz w:val="18"/>
                <w:szCs w:val="18"/>
                <w:lang w:eastAsia="en-GB"/>
              </w:rPr>
            </w:pPr>
            <w:r w:rsidRPr="007337C6">
              <w:rPr>
                <w:rFonts w:ascii="Trebuchet MS" w:eastAsia="Times New Roman" w:hAnsi="Trebuchet MS" w:cs="Calibri"/>
                <w:color w:val="0070C0"/>
                <w:sz w:val="18"/>
                <w:szCs w:val="18"/>
                <w:lang w:eastAsia="en-GB"/>
              </w:rPr>
              <w:t xml:space="preserve">After </w:t>
            </w:r>
            <w:r w:rsidR="00C129E1" w:rsidRPr="007337C6">
              <w:rPr>
                <w:rFonts w:ascii="Trebuchet MS" w:eastAsia="Times New Roman" w:hAnsi="Trebuchet MS" w:cs="Calibri"/>
                <w:color w:val="0070C0"/>
                <w:sz w:val="18"/>
                <w:szCs w:val="18"/>
                <w:lang w:eastAsia="en-GB"/>
              </w:rPr>
              <w:t>Transfer</w:t>
            </w:r>
          </w:p>
        </w:tc>
        <w:tc>
          <w:tcPr>
            <w:tcW w:w="223" w:type="dxa"/>
            <w:tcBorders>
              <w:top w:val="nil"/>
              <w:left w:val="nil"/>
              <w:bottom w:val="nil"/>
              <w:right w:val="nil"/>
            </w:tcBorders>
            <w:shd w:val="clear" w:color="auto" w:fill="auto"/>
            <w:noWrap/>
            <w:vAlign w:val="bottom"/>
            <w:hideMark/>
          </w:tcPr>
          <w:p w14:paraId="05C7B7E1" w14:textId="77777777" w:rsidR="0099351F" w:rsidRPr="007337C6" w:rsidRDefault="0099351F" w:rsidP="0099351F">
            <w:pPr>
              <w:spacing w:after="0" w:line="240" w:lineRule="auto"/>
              <w:rPr>
                <w:rFonts w:ascii="Trebuchet MS" w:eastAsia="Times New Roman" w:hAnsi="Trebuchet MS" w:cs="Calibri"/>
                <w:color w:val="0070C0"/>
                <w:sz w:val="18"/>
                <w:szCs w:val="18"/>
                <w:lang w:eastAsia="en-GB"/>
              </w:rPr>
            </w:pPr>
          </w:p>
        </w:tc>
        <w:tc>
          <w:tcPr>
            <w:tcW w:w="715" w:type="dxa"/>
            <w:tcBorders>
              <w:top w:val="nil"/>
              <w:left w:val="nil"/>
              <w:bottom w:val="nil"/>
              <w:right w:val="nil"/>
            </w:tcBorders>
            <w:shd w:val="clear" w:color="auto" w:fill="auto"/>
            <w:noWrap/>
            <w:vAlign w:val="center"/>
            <w:hideMark/>
          </w:tcPr>
          <w:p w14:paraId="59E5EDC8" w14:textId="77777777" w:rsidR="0099351F" w:rsidRPr="007337C6" w:rsidRDefault="0099351F" w:rsidP="0099351F">
            <w:pPr>
              <w:spacing w:after="0" w:line="240" w:lineRule="auto"/>
              <w:rPr>
                <w:rFonts w:ascii="Trebuchet MS" w:eastAsia="Times New Roman" w:hAnsi="Trebuchet MS" w:cs="Times New Roman"/>
                <w:b/>
                <w:bCs/>
                <w:color w:val="000000"/>
                <w:sz w:val="24"/>
                <w:szCs w:val="24"/>
                <w:lang w:eastAsia="en-GB"/>
              </w:rPr>
            </w:pPr>
            <w:r w:rsidRPr="007337C6">
              <w:rPr>
                <w:rFonts w:ascii="Trebuchet MS" w:eastAsia="Times New Roman" w:hAnsi="Trebuchet MS" w:cs="Times New Roman"/>
                <w:b/>
                <w:bCs/>
                <w:color w:val="000000"/>
                <w:sz w:val="24"/>
                <w:szCs w:val="24"/>
                <w:lang w:eastAsia="en-GB"/>
              </w:rPr>
              <w:t>AEI</w:t>
            </w:r>
          </w:p>
        </w:tc>
        <w:tc>
          <w:tcPr>
            <w:tcW w:w="1286" w:type="dxa"/>
            <w:tcBorders>
              <w:top w:val="single" w:sz="8" w:space="0" w:color="0070C0"/>
              <w:left w:val="nil"/>
              <w:bottom w:val="nil"/>
              <w:right w:val="nil"/>
            </w:tcBorders>
            <w:shd w:val="clear" w:color="auto" w:fill="auto"/>
            <w:noWrap/>
            <w:vAlign w:val="center"/>
            <w:hideMark/>
          </w:tcPr>
          <w:p w14:paraId="64DFF097" w14:textId="5DDDF80F" w:rsidR="0099351F" w:rsidRPr="007337C6" w:rsidRDefault="0099351F" w:rsidP="0099351F">
            <w:pPr>
              <w:spacing w:after="0" w:line="240" w:lineRule="auto"/>
              <w:jc w:val="right"/>
              <w:rPr>
                <w:rFonts w:ascii="Trebuchet MS" w:eastAsia="Times New Roman" w:hAnsi="Trebuchet MS" w:cs="Calibri"/>
                <w:color w:val="0070C0"/>
                <w:sz w:val="18"/>
                <w:szCs w:val="18"/>
                <w:lang w:eastAsia="en-GB"/>
              </w:rPr>
            </w:pPr>
            <w:r w:rsidRPr="007337C6">
              <w:rPr>
                <w:rFonts w:ascii="Trebuchet MS" w:eastAsia="Times New Roman" w:hAnsi="Trebuchet MS" w:cs="Calibri"/>
                <w:color w:val="0070C0"/>
                <w:sz w:val="18"/>
                <w:szCs w:val="18"/>
                <w:lang w:eastAsia="en-GB"/>
              </w:rPr>
              <w:t xml:space="preserve">Before </w:t>
            </w:r>
            <w:r w:rsidR="00C129E1" w:rsidRPr="007337C6">
              <w:rPr>
                <w:rFonts w:ascii="Trebuchet MS" w:eastAsia="Times New Roman" w:hAnsi="Trebuchet MS" w:cs="Calibri"/>
                <w:color w:val="0070C0"/>
                <w:sz w:val="18"/>
                <w:szCs w:val="18"/>
                <w:lang w:eastAsia="en-GB"/>
              </w:rPr>
              <w:t>Transfer</w:t>
            </w:r>
          </w:p>
        </w:tc>
        <w:tc>
          <w:tcPr>
            <w:tcW w:w="1075" w:type="dxa"/>
            <w:tcBorders>
              <w:top w:val="single" w:sz="8" w:space="0" w:color="0070C0"/>
              <w:left w:val="nil"/>
              <w:bottom w:val="nil"/>
              <w:right w:val="nil"/>
            </w:tcBorders>
            <w:shd w:val="clear" w:color="auto" w:fill="auto"/>
            <w:noWrap/>
            <w:vAlign w:val="center"/>
            <w:hideMark/>
          </w:tcPr>
          <w:p w14:paraId="7E1DB003" w14:textId="4A19A500" w:rsidR="0099351F" w:rsidRPr="007337C6" w:rsidRDefault="0099351F" w:rsidP="0099351F">
            <w:pPr>
              <w:spacing w:after="0" w:line="240" w:lineRule="auto"/>
              <w:jc w:val="right"/>
              <w:rPr>
                <w:rFonts w:ascii="Trebuchet MS" w:eastAsia="Times New Roman" w:hAnsi="Trebuchet MS" w:cs="Calibri"/>
                <w:color w:val="0070C0"/>
                <w:sz w:val="18"/>
                <w:szCs w:val="18"/>
                <w:lang w:eastAsia="en-GB"/>
              </w:rPr>
            </w:pPr>
            <w:r w:rsidRPr="007337C6">
              <w:rPr>
                <w:rFonts w:ascii="Trebuchet MS" w:eastAsia="Times New Roman" w:hAnsi="Trebuchet MS" w:cs="Calibri"/>
                <w:color w:val="0070C0"/>
                <w:sz w:val="18"/>
                <w:szCs w:val="18"/>
                <w:lang w:eastAsia="en-GB"/>
              </w:rPr>
              <w:t xml:space="preserve">After </w:t>
            </w:r>
            <w:r w:rsidR="00C129E1" w:rsidRPr="007337C6">
              <w:rPr>
                <w:rFonts w:ascii="Trebuchet MS" w:eastAsia="Times New Roman" w:hAnsi="Trebuchet MS" w:cs="Calibri"/>
                <w:color w:val="0070C0"/>
                <w:sz w:val="18"/>
                <w:szCs w:val="18"/>
                <w:lang w:eastAsia="en-GB"/>
              </w:rPr>
              <w:t>Transfer</w:t>
            </w:r>
          </w:p>
        </w:tc>
      </w:tr>
      <w:tr w:rsidR="0099351F" w:rsidRPr="007337C6" w14:paraId="4817C5A7" w14:textId="77777777" w:rsidTr="00C527D2">
        <w:trPr>
          <w:trHeight w:val="93"/>
        </w:trPr>
        <w:tc>
          <w:tcPr>
            <w:tcW w:w="909" w:type="dxa"/>
            <w:tcBorders>
              <w:top w:val="nil"/>
              <w:left w:val="nil"/>
              <w:bottom w:val="nil"/>
              <w:right w:val="nil"/>
            </w:tcBorders>
            <w:shd w:val="clear" w:color="auto" w:fill="auto"/>
            <w:noWrap/>
            <w:vAlign w:val="bottom"/>
            <w:hideMark/>
          </w:tcPr>
          <w:p w14:paraId="2C7A5AF2" w14:textId="77777777" w:rsidR="0099351F" w:rsidRPr="007337C6" w:rsidRDefault="0099351F" w:rsidP="0099351F">
            <w:pPr>
              <w:spacing w:after="0" w:line="240" w:lineRule="auto"/>
              <w:rPr>
                <w:rFonts w:ascii="Trebuchet MS" w:eastAsia="Times New Roman" w:hAnsi="Trebuchet MS" w:cs="Calibri"/>
                <w:color w:val="0070C0"/>
                <w:sz w:val="18"/>
                <w:szCs w:val="18"/>
                <w:lang w:eastAsia="en-GB"/>
              </w:rPr>
            </w:pPr>
          </w:p>
        </w:tc>
        <w:tc>
          <w:tcPr>
            <w:tcW w:w="1747" w:type="dxa"/>
            <w:tcBorders>
              <w:top w:val="nil"/>
              <w:left w:val="nil"/>
              <w:bottom w:val="nil"/>
              <w:right w:val="nil"/>
            </w:tcBorders>
            <w:shd w:val="clear" w:color="auto" w:fill="auto"/>
            <w:noWrap/>
            <w:vAlign w:val="bottom"/>
            <w:hideMark/>
          </w:tcPr>
          <w:p w14:paraId="6CFFBF57" w14:textId="77777777" w:rsidR="0099351F" w:rsidRPr="007337C6" w:rsidRDefault="0099351F" w:rsidP="0099351F">
            <w:pPr>
              <w:spacing w:after="0" w:line="240" w:lineRule="auto"/>
              <w:rPr>
                <w:rFonts w:ascii="Trebuchet MS" w:eastAsia="Times New Roman" w:hAnsi="Trebuchet MS" w:cs="Times New Roman"/>
                <w:sz w:val="20"/>
                <w:szCs w:val="20"/>
                <w:lang w:eastAsia="en-GB"/>
              </w:rPr>
            </w:pPr>
          </w:p>
        </w:tc>
        <w:tc>
          <w:tcPr>
            <w:tcW w:w="1075" w:type="dxa"/>
            <w:tcBorders>
              <w:top w:val="nil"/>
              <w:left w:val="nil"/>
              <w:bottom w:val="nil"/>
              <w:right w:val="nil"/>
            </w:tcBorders>
            <w:shd w:val="clear" w:color="auto" w:fill="auto"/>
            <w:noWrap/>
            <w:vAlign w:val="bottom"/>
            <w:hideMark/>
          </w:tcPr>
          <w:p w14:paraId="2A5C6D1C" w14:textId="77777777" w:rsidR="0099351F" w:rsidRPr="007337C6" w:rsidRDefault="0099351F" w:rsidP="0099351F">
            <w:pPr>
              <w:spacing w:after="0" w:line="240" w:lineRule="auto"/>
              <w:rPr>
                <w:rFonts w:ascii="Trebuchet MS" w:eastAsia="Times New Roman" w:hAnsi="Trebuchet MS" w:cs="Times New Roman"/>
                <w:sz w:val="20"/>
                <w:szCs w:val="20"/>
                <w:lang w:eastAsia="en-GB"/>
              </w:rPr>
            </w:pPr>
          </w:p>
        </w:tc>
        <w:tc>
          <w:tcPr>
            <w:tcW w:w="223" w:type="dxa"/>
            <w:tcBorders>
              <w:top w:val="nil"/>
              <w:left w:val="nil"/>
              <w:bottom w:val="nil"/>
              <w:right w:val="nil"/>
            </w:tcBorders>
            <w:shd w:val="clear" w:color="auto" w:fill="auto"/>
            <w:noWrap/>
            <w:vAlign w:val="bottom"/>
            <w:hideMark/>
          </w:tcPr>
          <w:p w14:paraId="36D2926E" w14:textId="77777777" w:rsidR="0099351F" w:rsidRPr="007337C6" w:rsidRDefault="0099351F" w:rsidP="0099351F">
            <w:pPr>
              <w:spacing w:after="0" w:line="240" w:lineRule="auto"/>
              <w:rPr>
                <w:rFonts w:ascii="Trebuchet MS" w:eastAsia="Times New Roman" w:hAnsi="Trebuchet MS" w:cs="Times New Roman"/>
                <w:sz w:val="20"/>
                <w:szCs w:val="20"/>
                <w:lang w:eastAsia="en-GB"/>
              </w:rPr>
            </w:pPr>
          </w:p>
        </w:tc>
        <w:tc>
          <w:tcPr>
            <w:tcW w:w="715" w:type="dxa"/>
            <w:tcBorders>
              <w:top w:val="nil"/>
              <w:left w:val="nil"/>
              <w:bottom w:val="nil"/>
              <w:right w:val="nil"/>
            </w:tcBorders>
            <w:shd w:val="clear" w:color="auto" w:fill="auto"/>
            <w:noWrap/>
            <w:vAlign w:val="bottom"/>
            <w:hideMark/>
          </w:tcPr>
          <w:p w14:paraId="474855D6" w14:textId="77777777" w:rsidR="0099351F" w:rsidRPr="007337C6" w:rsidRDefault="0099351F" w:rsidP="0099351F">
            <w:pPr>
              <w:spacing w:after="0" w:line="240" w:lineRule="auto"/>
              <w:rPr>
                <w:rFonts w:ascii="Trebuchet MS" w:eastAsia="Times New Roman" w:hAnsi="Trebuchet MS" w:cs="Times New Roman"/>
                <w:sz w:val="20"/>
                <w:szCs w:val="20"/>
                <w:lang w:eastAsia="en-GB"/>
              </w:rPr>
            </w:pPr>
          </w:p>
        </w:tc>
        <w:tc>
          <w:tcPr>
            <w:tcW w:w="1342" w:type="dxa"/>
            <w:tcBorders>
              <w:top w:val="nil"/>
              <w:left w:val="nil"/>
              <w:bottom w:val="nil"/>
              <w:right w:val="nil"/>
            </w:tcBorders>
            <w:shd w:val="clear" w:color="auto" w:fill="auto"/>
            <w:noWrap/>
            <w:vAlign w:val="bottom"/>
            <w:hideMark/>
          </w:tcPr>
          <w:p w14:paraId="3D11BE58" w14:textId="77777777" w:rsidR="0099351F" w:rsidRPr="007337C6" w:rsidRDefault="0099351F" w:rsidP="0099351F">
            <w:pPr>
              <w:spacing w:after="0" w:line="240" w:lineRule="auto"/>
              <w:rPr>
                <w:rFonts w:ascii="Trebuchet MS" w:eastAsia="Times New Roman" w:hAnsi="Trebuchet MS" w:cs="Times New Roman"/>
                <w:sz w:val="20"/>
                <w:szCs w:val="20"/>
                <w:lang w:eastAsia="en-GB"/>
              </w:rPr>
            </w:pPr>
          </w:p>
        </w:tc>
        <w:tc>
          <w:tcPr>
            <w:tcW w:w="1075" w:type="dxa"/>
            <w:tcBorders>
              <w:top w:val="nil"/>
              <w:left w:val="nil"/>
              <w:bottom w:val="nil"/>
              <w:right w:val="nil"/>
            </w:tcBorders>
            <w:shd w:val="clear" w:color="auto" w:fill="auto"/>
            <w:noWrap/>
            <w:vAlign w:val="bottom"/>
            <w:hideMark/>
          </w:tcPr>
          <w:p w14:paraId="6CC01A5F" w14:textId="77777777" w:rsidR="0099351F" w:rsidRPr="007337C6" w:rsidRDefault="0099351F" w:rsidP="0099351F">
            <w:pPr>
              <w:spacing w:after="0" w:line="240" w:lineRule="auto"/>
              <w:rPr>
                <w:rFonts w:ascii="Trebuchet MS" w:eastAsia="Times New Roman" w:hAnsi="Trebuchet MS" w:cs="Times New Roman"/>
                <w:sz w:val="20"/>
                <w:szCs w:val="20"/>
                <w:lang w:eastAsia="en-GB"/>
              </w:rPr>
            </w:pPr>
          </w:p>
        </w:tc>
        <w:tc>
          <w:tcPr>
            <w:tcW w:w="223" w:type="dxa"/>
            <w:tcBorders>
              <w:top w:val="nil"/>
              <w:left w:val="nil"/>
              <w:bottom w:val="nil"/>
              <w:right w:val="nil"/>
            </w:tcBorders>
            <w:shd w:val="clear" w:color="auto" w:fill="auto"/>
            <w:noWrap/>
            <w:vAlign w:val="bottom"/>
            <w:hideMark/>
          </w:tcPr>
          <w:p w14:paraId="20C097A3" w14:textId="77777777" w:rsidR="0099351F" w:rsidRPr="007337C6" w:rsidRDefault="0099351F" w:rsidP="0099351F">
            <w:pPr>
              <w:spacing w:after="0" w:line="240" w:lineRule="auto"/>
              <w:rPr>
                <w:rFonts w:ascii="Trebuchet MS" w:eastAsia="Times New Roman" w:hAnsi="Trebuchet MS" w:cs="Times New Roman"/>
                <w:sz w:val="20"/>
                <w:szCs w:val="20"/>
                <w:lang w:eastAsia="en-GB"/>
              </w:rPr>
            </w:pPr>
          </w:p>
        </w:tc>
        <w:tc>
          <w:tcPr>
            <w:tcW w:w="715" w:type="dxa"/>
            <w:tcBorders>
              <w:top w:val="nil"/>
              <w:left w:val="nil"/>
              <w:bottom w:val="nil"/>
              <w:right w:val="nil"/>
            </w:tcBorders>
            <w:shd w:val="clear" w:color="auto" w:fill="auto"/>
            <w:noWrap/>
            <w:vAlign w:val="bottom"/>
            <w:hideMark/>
          </w:tcPr>
          <w:p w14:paraId="17861C10" w14:textId="77777777" w:rsidR="0099351F" w:rsidRPr="007337C6" w:rsidRDefault="0099351F" w:rsidP="0099351F">
            <w:pPr>
              <w:spacing w:after="0" w:line="240" w:lineRule="auto"/>
              <w:rPr>
                <w:rFonts w:ascii="Trebuchet MS" w:eastAsia="Times New Roman" w:hAnsi="Trebuchet MS" w:cs="Times New Roman"/>
                <w:sz w:val="20"/>
                <w:szCs w:val="20"/>
                <w:lang w:eastAsia="en-GB"/>
              </w:rPr>
            </w:pPr>
          </w:p>
        </w:tc>
        <w:tc>
          <w:tcPr>
            <w:tcW w:w="1286" w:type="dxa"/>
            <w:tcBorders>
              <w:top w:val="nil"/>
              <w:left w:val="nil"/>
              <w:bottom w:val="nil"/>
              <w:right w:val="nil"/>
            </w:tcBorders>
            <w:shd w:val="clear" w:color="auto" w:fill="auto"/>
            <w:noWrap/>
            <w:vAlign w:val="bottom"/>
            <w:hideMark/>
          </w:tcPr>
          <w:p w14:paraId="0EEF4F1B" w14:textId="77777777" w:rsidR="0099351F" w:rsidRPr="007337C6" w:rsidRDefault="0099351F" w:rsidP="0099351F">
            <w:pPr>
              <w:spacing w:after="0" w:line="240" w:lineRule="auto"/>
              <w:rPr>
                <w:rFonts w:ascii="Trebuchet MS" w:eastAsia="Times New Roman" w:hAnsi="Trebuchet MS" w:cs="Times New Roman"/>
                <w:sz w:val="20"/>
                <w:szCs w:val="20"/>
                <w:lang w:eastAsia="en-GB"/>
              </w:rPr>
            </w:pPr>
          </w:p>
        </w:tc>
        <w:tc>
          <w:tcPr>
            <w:tcW w:w="1075" w:type="dxa"/>
            <w:tcBorders>
              <w:top w:val="nil"/>
              <w:left w:val="nil"/>
              <w:bottom w:val="nil"/>
              <w:right w:val="nil"/>
            </w:tcBorders>
            <w:shd w:val="clear" w:color="auto" w:fill="auto"/>
            <w:noWrap/>
            <w:vAlign w:val="bottom"/>
            <w:hideMark/>
          </w:tcPr>
          <w:p w14:paraId="0DBA889E" w14:textId="77777777" w:rsidR="0099351F" w:rsidRPr="007337C6" w:rsidRDefault="0099351F" w:rsidP="0099351F">
            <w:pPr>
              <w:spacing w:after="0" w:line="240" w:lineRule="auto"/>
              <w:rPr>
                <w:rFonts w:ascii="Trebuchet MS" w:eastAsia="Times New Roman" w:hAnsi="Trebuchet MS" w:cs="Times New Roman"/>
                <w:sz w:val="20"/>
                <w:szCs w:val="20"/>
                <w:lang w:eastAsia="en-GB"/>
              </w:rPr>
            </w:pPr>
          </w:p>
        </w:tc>
      </w:tr>
      <w:tr w:rsidR="00013ACF" w:rsidRPr="007337C6" w14:paraId="6BD3B17C" w14:textId="77777777" w:rsidTr="00C527D2">
        <w:trPr>
          <w:trHeight w:val="270"/>
        </w:trPr>
        <w:tc>
          <w:tcPr>
            <w:tcW w:w="909" w:type="dxa"/>
            <w:tcBorders>
              <w:top w:val="nil"/>
              <w:left w:val="nil"/>
              <w:bottom w:val="single" w:sz="8" w:space="0" w:color="0070C0"/>
              <w:right w:val="nil"/>
            </w:tcBorders>
            <w:shd w:val="clear" w:color="auto" w:fill="auto"/>
            <w:noWrap/>
            <w:vAlign w:val="center"/>
            <w:hideMark/>
          </w:tcPr>
          <w:p w14:paraId="5306709B" w14:textId="77777777" w:rsidR="00013ACF" w:rsidRPr="007337C6" w:rsidRDefault="00013ACF" w:rsidP="00013ACF">
            <w:pPr>
              <w:spacing w:after="0" w:line="240" w:lineRule="auto"/>
              <w:rPr>
                <w:rFonts w:ascii="Trebuchet MS" w:eastAsia="Times New Roman" w:hAnsi="Trebuchet MS" w:cs="Calibri"/>
                <w:color w:val="000000"/>
                <w:sz w:val="18"/>
                <w:szCs w:val="18"/>
                <w:lang w:eastAsia="en-GB"/>
              </w:rPr>
            </w:pPr>
            <w:r w:rsidRPr="007337C6">
              <w:rPr>
                <w:rFonts w:ascii="Trebuchet MS" w:eastAsia="Times New Roman" w:hAnsi="Trebuchet MS" w:cs="Calibri"/>
                <w:color w:val="000000"/>
                <w:sz w:val="18"/>
                <w:szCs w:val="18"/>
                <w:lang w:eastAsia="en-GB"/>
              </w:rPr>
              <w:t>SCR %</w:t>
            </w:r>
          </w:p>
        </w:tc>
        <w:tc>
          <w:tcPr>
            <w:tcW w:w="1747" w:type="dxa"/>
            <w:tcBorders>
              <w:top w:val="nil"/>
              <w:left w:val="nil"/>
              <w:bottom w:val="single" w:sz="8" w:space="0" w:color="0070C0"/>
              <w:right w:val="nil"/>
            </w:tcBorders>
            <w:shd w:val="clear" w:color="auto" w:fill="auto"/>
            <w:noWrap/>
            <w:vAlign w:val="center"/>
            <w:hideMark/>
          </w:tcPr>
          <w:p w14:paraId="391ADB73" w14:textId="35BE29F4" w:rsidR="00013ACF" w:rsidRPr="007337C6" w:rsidRDefault="00013ACF" w:rsidP="00013ACF">
            <w:pPr>
              <w:spacing w:after="0" w:line="240" w:lineRule="auto"/>
              <w:jc w:val="right"/>
              <w:rPr>
                <w:rFonts w:ascii="Trebuchet MS" w:eastAsia="Times New Roman" w:hAnsi="Trebuchet MS" w:cs="Calibri"/>
                <w:color w:val="000000"/>
                <w:sz w:val="18"/>
                <w:szCs w:val="18"/>
                <w:lang w:eastAsia="en-GB"/>
              </w:rPr>
            </w:pPr>
            <w:r w:rsidRPr="007337C6">
              <w:rPr>
                <w:rFonts w:ascii="Trebuchet MS" w:hAnsi="Trebuchet MS" w:cs="Calibri"/>
                <w:color w:val="000000"/>
                <w:sz w:val="18"/>
                <w:szCs w:val="18"/>
              </w:rPr>
              <w:t>1</w:t>
            </w:r>
            <w:r w:rsidR="00135333">
              <w:rPr>
                <w:rFonts w:ascii="Trebuchet MS" w:hAnsi="Trebuchet MS" w:cs="Calibri"/>
                <w:color w:val="000000"/>
                <w:sz w:val="18"/>
                <w:szCs w:val="18"/>
              </w:rPr>
              <w:t>50</w:t>
            </w:r>
            <w:r w:rsidRPr="007337C6">
              <w:rPr>
                <w:rFonts w:ascii="Trebuchet MS" w:hAnsi="Trebuchet MS" w:cs="Calibri"/>
                <w:color w:val="000000"/>
                <w:sz w:val="18"/>
                <w:szCs w:val="18"/>
              </w:rPr>
              <w:t>%</w:t>
            </w:r>
          </w:p>
        </w:tc>
        <w:tc>
          <w:tcPr>
            <w:tcW w:w="1075" w:type="dxa"/>
            <w:tcBorders>
              <w:top w:val="nil"/>
              <w:left w:val="nil"/>
              <w:bottom w:val="single" w:sz="8" w:space="0" w:color="0070C0"/>
              <w:right w:val="nil"/>
            </w:tcBorders>
            <w:shd w:val="clear" w:color="auto" w:fill="auto"/>
            <w:noWrap/>
            <w:vAlign w:val="center"/>
            <w:hideMark/>
          </w:tcPr>
          <w:p w14:paraId="5661AF41" w14:textId="15AE4FCC" w:rsidR="00013ACF" w:rsidRPr="007337C6" w:rsidRDefault="00013ACF" w:rsidP="00013ACF">
            <w:pPr>
              <w:spacing w:after="0" w:line="240" w:lineRule="auto"/>
              <w:jc w:val="right"/>
              <w:rPr>
                <w:rFonts w:ascii="Trebuchet MS" w:eastAsia="Times New Roman" w:hAnsi="Trebuchet MS" w:cs="Calibri"/>
                <w:color w:val="000000"/>
                <w:sz w:val="18"/>
                <w:szCs w:val="18"/>
                <w:lang w:eastAsia="en-GB"/>
              </w:rPr>
            </w:pPr>
            <w:r w:rsidRPr="007337C6">
              <w:rPr>
                <w:rFonts w:ascii="Trebuchet MS" w:hAnsi="Trebuchet MS" w:cs="Calibri"/>
                <w:color w:val="000000"/>
                <w:sz w:val="18"/>
                <w:szCs w:val="18"/>
              </w:rPr>
              <w:t>179%</w:t>
            </w:r>
          </w:p>
        </w:tc>
        <w:tc>
          <w:tcPr>
            <w:tcW w:w="223" w:type="dxa"/>
            <w:tcBorders>
              <w:top w:val="nil"/>
              <w:left w:val="nil"/>
              <w:bottom w:val="nil"/>
              <w:right w:val="nil"/>
            </w:tcBorders>
            <w:shd w:val="clear" w:color="auto" w:fill="auto"/>
            <w:noWrap/>
            <w:vAlign w:val="bottom"/>
            <w:hideMark/>
          </w:tcPr>
          <w:p w14:paraId="7C8D40B4" w14:textId="77777777" w:rsidR="00013ACF" w:rsidRPr="007337C6" w:rsidRDefault="00013ACF" w:rsidP="00013ACF">
            <w:pPr>
              <w:spacing w:after="0" w:line="240" w:lineRule="auto"/>
              <w:jc w:val="right"/>
              <w:rPr>
                <w:rFonts w:ascii="Trebuchet MS" w:eastAsia="Times New Roman" w:hAnsi="Trebuchet MS" w:cs="Calibri"/>
                <w:color w:val="000000"/>
                <w:sz w:val="18"/>
                <w:szCs w:val="18"/>
                <w:lang w:eastAsia="en-GB"/>
              </w:rPr>
            </w:pPr>
          </w:p>
        </w:tc>
        <w:tc>
          <w:tcPr>
            <w:tcW w:w="715" w:type="dxa"/>
            <w:tcBorders>
              <w:top w:val="nil"/>
              <w:left w:val="nil"/>
              <w:bottom w:val="single" w:sz="8" w:space="0" w:color="0070C0"/>
              <w:right w:val="nil"/>
            </w:tcBorders>
            <w:shd w:val="clear" w:color="auto" w:fill="auto"/>
            <w:noWrap/>
            <w:vAlign w:val="center"/>
            <w:hideMark/>
          </w:tcPr>
          <w:p w14:paraId="51F82F67" w14:textId="5B37F942" w:rsidR="00013ACF" w:rsidRPr="007337C6" w:rsidRDefault="00013ACF" w:rsidP="00013ACF">
            <w:pPr>
              <w:spacing w:after="0" w:line="240" w:lineRule="auto"/>
              <w:rPr>
                <w:rFonts w:ascii="Trebuchet MS" w:eastAsia="Times New Roman" w:hAnsi="Trebuchet MS" w:cs="Calibri"/>
                <w:color w:val="000000"/>
                <w:sz w:val="18"/>
                <w:szCs w:val="18"/>
                <w:lang w:eastAsia="en-GB"/>
              </w:rPr>
            </w:pPr>
            <w:r w:rsidRPr="007337C6">
              <w:rPr>
                <w:rFonts w:ascii="Trebuchet MS" w:hAnsi="Trebuchet MS" w:cs="Calibri"/>
                <w:color w:val="000000"/>
                <w:sz w:val="18"/>
                <w:szCs w:val="18"/>
              </w:rPr>
              <w:t>SCR %</w:t>
            </w:r>
          </w:p>
        </w:tc>
        <w:tc>
          <w:tcPr>
            <w:tcW w:w="1342" w:type="dxa"/>
            <w:tcBorders>
              <w:top w:val="nil"/>
              <w:left w:val="nil"/>
              <w:bottom w:val="single" w:sz="8" w:space="0" w:color="0070C0"/>
              <w:right w:val="nil"/>
            </w:tcBorders>
            <w:shd w:val="clear" w:color="auto" w:fill="auto"/>
            <w:noWrap/>
            <w:vAlign w:val="center"/>
            <w:hideMark/>
          </w:tcPr>
          <w:p w14:paraId="393F5F8E" w14:textId="0D624301" w:rsidR="00013ACF" w:rsidRPr="007337C6" w:rsidRDefault="00013ACF" w:rsidP="00013ACF">
            <w:pPr>
              <w:spacing w:after="0" w:line="240" w:lineRule="auto"/>
              <w:jc w:val="right"/>
              <w:rPr>
                <w:rFonts w:ascii="Trebuchet MS" w:eastAsia="Times New Roman" w:hAnsi="Trebuchet MS" w:cs="Calibri"/>
                <w:color w:val="000000"/>
                <w:sz w:val="18"/>
                <w:szCs w:val="18"/>
                <w:lang w:eastAsia="en-GB"/>
              </w:rPr>
            </w:pPr>
            <w:r w:rsidRPr="007337C6">
              <w:rPr>
                <w:rFonts w:ascii="Trebuchet MS" w:hAnsi="Trebuchet MS" w:cs="Calibri"/>
                <w:color w:val="000000"/>
                <w:sz w:val="18"/>
                <w:szCs w:val="18"/>
              </w:rPr>
              <w:t>196%</w:t>
            </w:r>
          </w:p>
        </w:tc>
        <w:tc>
          <w:tcPr>
            <w:tcW w:w="1075" w:type="dxa"/>
            <w:tcBorders>
              <w:top w:val="nil"/>
              <w:left w:val="nil"/>
              <w:bottom w:val="single" w:sz="8" w:space="0" w:color="0070C0"/>
              <w:right w:val="nil"/>
            </w:tcBorders>
            <w:shd w:val="clear" w:color="auto" w:fill="auto"/>
            <w:noWrap/>
            <w:vAlign w:val="center"/>
            <w:hideMark/>
          </w:tcPr>
          <w:p w14:paraId="4F419BF5" w14:textId="5B5C37BA" w:rsidR="00013ACF" w:rsidRPr="007337C6" w:rsidRDefault="00013ACF" w:rsidP="00013ACF">
            <w:pPr>
              <w:spacing w:after="0" w:line="240" w:lineRule="auto"/>
              <w:jc w:val="right"/>
              <w:rPr>
                <w:rFonts w:ascii="Trebuchet MS" w:eastAsia="Times New Roman" w:hAnsi="Trebuchet MS" w:cs="Calibri"/>
                <w:color w:val="000000"/>
                <w:sz w:val="18"/>
                <w:szCs w:val="18"/>
                <w:lang w:eastAsia="en-GB"/>
              </w:rPr>
            </w:pPr>
            <w:r w:rsidRPr="007337C6">
              <w:rPr>
                <w:rFonts w:ascii="Trebuchet MS" w:hAnsi="Trebuchet MS" w:cs="Calibri"/>
                <w:color w:val="000000"/>
                <w:sz w:val="18"/>
                <w:szCs w:val="18"/>
              </w:rPr>
              <w:t>26</w:t>
            </w:r>
            <w:r w:rsidR="0007005C">
              <w:rPr>
                <w:rFonts w:ascii="Trebuchet MS" w:hAnsi="Trebuchet MS" w:cs="Calibri"/>
                <w:color w:val="000000"/>
                <w:sz w:val="18"/>
                <w:szCs w:val="18"/>
              </w:rPr>
              <w:t>1</w:t>
            </w:r>
            <w:r w:rsidRPr="007337C6">
              <w:rPr>
                <w:rFonts w:ascii="Trebuchet MS" w:hAnsi="Trebuchet MS" w:cs="Calibri"/>
                <w:color w:val="000000"/>
                <w:sz w:val="18"/>
                <w:szCs w:val="18"/>
              </w:rPr>
              <w:t>%</w:t>
            </w:r>
          </w:p>
        </w:tc>
        <w:tc>
          <w:tcPr>
            <w:tcW w:w="223" w:type="dxa"/>
            <w:tcBorders>
              <w:top w:val="nil"/>
              <w:left w:val="nil"/>
              <w:bottom w:val="nil"/>
              <w:right w:val="nil"/>
            </w:tcBorders>
            <w:shd w:val="clear" w:color="auto" w:fill="auto"/>
            <w:noWrap/>
            <w:vAlign w:val="bottom"/>
            <w:hideMark/>
          </w:tcPr>
          <w:p w14:paraId="2308E9E3" w14:textId="77777777" w:rsidR="00013ACF" w:rsidRPr="007337C6" w:rsidRDefault="00013ACF" w:rsidP="00013ACF">
            <w:pPr>
              <w:spacing w:after="0" w:line="240" w:lineRule="auto"/>
              <w:jc w:val="right"/>
              <w:rPr>
                <w:rFonts w:ascii="Trebuchet MS" w:eastAsia="Times New Roman" w:hAnsi="Trebuchet MS" w:cs="Calibri"/>
                <w:color w:val="000000"/>
                <w:sz w:val="18"/>
                <w:szCs w:val="18"/>
                <w:lang w:eastAsia="en-GB"/>
              </w:rPr>
            </w:pPr>
          </w:p>
        </w:tc>
        <w:tc>
          <w:tcPr>
            <w:tcW w:w="715" w:type="dxa"/>
            <w:tcBorders>
              <w:top w:val="nil"/>
              <w:left w:val="nil"/>
              <w:bottom w:val="single" w:sz="8" w:space="0" w:color="0070C0"/>
              <w:right w:val="nil"/>
            </w:tcBorders>
            <w:shd w:val="clear" w:color="auto" w:fill="auto"/>
            <w:noWrap/>
            <w:vAlign w:val="center"/>
            <w:hideMark/>
          </w:tcPr>
          <w:p w14:paraId="280161D0" w14:textId="61CB185A" w:rsidR="00013ACF" w:rsidRPr="007337C6" w:rsidRDefault="00013ACF" w:rsidP="00013ACF">
            <w:pPr>
              <w:spacing w:after="0" w:line="240" w:lineRule="auto"/>
              <w:rPr>
                <w:rFonts w:ascii="Trebuchet MS" w:eastAsia="Times New Roman" w:hAnsi="Trebuchet MS" w:cs="Calibri"/>
                <w:color w:val="000000"/>
                <w:sz w:val="18"/>
                <w:szCs w:val="18"/>
                <w:lang w:eastAsia="en-GB"/>
              </w:rPr>
            </w:pPr>
            <w:r w:rsidRPr="007337C6">
              <w:rPr>
                <w:rFonts w:ascii="Trebuchet MS" w:hAnsi="Trebuchet MS" w:cs="Calibri"/>
                <w:color w:val="000000"/>
                <w:sz w:val="18"/>
                <w:szCs w:val="18"/>
              </w:rPr>
              <w:t>SCR %</w:t>
            </w:r>
          </w:p>
        </w:tc>
        <w:tc>
          <w:tcPr>
            <w:tcW w:w="1286" w:type="dxa"/>
            <w:tcBorders>
              <w:top w:val="nil"/>
              <w:left w:val="nil"/>
              <w:bottom w:val="single" w:sz="8" w:space="0" w:color="0070C0"/>
              <w:right w:val="nil"/>
            </w:tcBorders>
            <w:shd w:val="clear" w:color="auto" w:fill="auto"/>
            <w:noWrap/>
            <w:vAlign w:val="center"/>
            <w:hideMark/>
          </w:tcPr>
          <w:p w14:paraId="581232D1" w14:textId="47722D7B" w:rsidR="00013ACF" w:rsidRPr="007337C6" w:rsidRDefault="00013ACF" w:rsidP="00013ACF">
            <w:pPr>
              <w:spacing w:after="0" w:line="240" w:lineRule="auto"/>
              <w:jc w:val="right"/>
              <w:rPr>
                <w:rFonts w:ascii="Trebuchet MS" w:eastAsia="Times New Roman" w:hAnsi="Trebuchet MS" w:cs="Calibri"/>
                <w:color w:val="000000"/>
                <w:sz w:val="18"/>
                <w:szCs w:val="18"/>
                <w:lang w:eastAsia="en-GB"/>
              </w:rPr>
            </w:pPr>
            <w:r w:rsidRPr="007337C6">
              <w:rPr>
                <w:rFonts w:ascii="Trebuchet MS" w:hAnsi="Trebuchet MS" w:cs="Calibri"/>
                <w:color w:val="000000"/>
                <w:sz w:val="18"/>
                <w:szCs w:val="18"/>
              </w:rPr>
              <w:t>n/a</w:t>
            </w:r>
          </w:p>
        </w:tc>
        <w:tc>
          <w:tcPr>
            <w:tcW w:w="1075" w:type="dxa"/>
            <w:tcBorders>
              <w:top w:val="nil"/>
              <w:left w:val="nil"/>
              <w:bottom w:val="single" w:sz="8" w:space="0" w:color="0070C0"/>
              <w:right w:val="nil"/>
            </w:tcBorders>
            <w:shd w:val="clear" w:color="auto" w:fill="auto"/>
            <w:noWrap/>
            <w:vAlign w:val="center"/>
            <w:hideMark/>
          </w:tcPr>
          <w:p w14:paraId="4D3455FD" w14:textId="0FCAF006" w:rsidR="00013ACF" w:rsidRPr="007337C6" w:rsidRDefault="00013ACF" w:rsidP="00013ACF">
            <w:pPr>
              <w:spacing w:after="0" w:line="240" w:lineRule="auto"/>
              <w:jc w:val="right"/>
              <w:rPr>
                <w:rFonts w:ascii="Trebuchet MS" w:eastAsia="Times New Roman" w:hAnsi="Trebuchet MS" w:cs="Calibri"/>
                <w:color w:val="000000"/>
                <w:sz w:val="18"/>
                <w:szCs w:val="18"/>
                <w:lang w:eastAsia="en-GB"/>
              </w:rPr>
            </w:pPr>
            <w:r w:rsidRPr="007337C6">
              <w:rPr>
                <w:rFonts w:ascii="Trebuchet MS" w:hAnsi="Trebuchet MS" w:cs="Calibri"/>
                <w:color w:val="000000"/>
                <w:sz w:val="18"/>
                <w:szCs w:val="18"/>
              </w:rPr>
              <w:t>157%</w:t>
            </w:r>
          </w:p>
        </w:tc>
      </w:tr>
      <w:tr w:rsidR="00013ACF" w:rsidRPr="007337C6" w14:paraId="6B119FD3" w14:textId="77777777" w:rsidTr="00C527D2">
        <w:trPr>
          <w:trHeight w:val="259"/>
        </w:trPr>
        <w:tc>
          <w:tcPr>
            <w:tcW w:w="909" w:type="dxa"/>
            <w:tcBorders>
              <w:top w:val="nil"/>
              <w:left w:val="nil"/>
              <w:bottom w:val="nil"/>
              <w:right w:val="nil"/>
            </w:tcBorders>
            <w:shd w:val="clear" w:color="auto" w:fill="auto"/>
            <w:noWrap/>
            <w:vAlign w:val="center"/>
            <w:hideMark/>
          </w:tcPr>
          <w:p w14:paraId="334CD570" w14:textId="77777777" w:rsidR="00013ACF" w:rsidRPr="007337C6" w:rsidRDefault="00013ACF" w:rsidP="00013ACF">
            <w:pPr>
              <w:spacing w:after="0" w:line="240" w:lineRule="auto"/>
              <w:rPr>
                <w:rFonts w:ascii="Trebuchet MS" w:eastAsia="Times New Roman" w:hAnsi="Trebuchet MS" w:cs="Calibri"/>
                <w:color w:val="000000"/>
                <w:sz w:val="18"/>
                <w:szCs w:val="18"/>
                <w:lang w:eastAsia="en-GB"/>
              </w:rPr>
            </w:pPr>
            <w:r w:rsidRPr="007337C6">
              <w:rPr>
                <w:rFonts w:ascii="Trebuchet MS" w:eastAsia="Times New Roman" w:hAnsi="Trebuchet MS" w:cs="Calibri"/>
                <w:color w:val="000000"/>
                <w:sz w:val="18"/>
                <w:szCs w:val="18"/>
                <w:lang w:eastAsia="en-GB"/>
              </w:rPr>
              <w:t>target</w:t>
            </w:r>
          </w:p>
        </w:tc>
        <w:tc>
          <w:tcPr>
            <w:tcW w:w="1747" w:type="dxa"/>
            <w:tcBorders>
              <w:top w:val="nil"/>
              <w:left w:val="nil"/>
              <w:bottom w:val="nil"/>
              <w:right w:val="nil"/>
            </w:tcBorders>
            <w:shd w:val="clear" w:color="auto" w:fill="auto"/>
            <w:noWrap/>
            <w:vAlign w:val="center"/>
            <w:hideMark/>
          </w:tcPr>
          <w:p w14:paraId="25A4F90A" w14:textId="7766D5F1" w:rsidR="00013ACF" w:rsidRPr="007337C6" w:rsidRDefault="00013ACF" w:rsidP="00013ACF">
            <w:pPr>
              <w:spacing w:after="0" w:line="240" w:lineRule="auto"/>
              <w:jc w:val="right"/>
              <w:rPr>
                <w:rFonts w:ascii="Trebuchet MS" w:eastAsia="Times New Roman" w:hAnsi="Trebuchet MS" w:cs="Calibri"/>
                <w:color w:val="000000"/>
                <w:sz w:val="18"/>
                <w:szCs w:val="18"/>
                <w:lang w:eastAsia="en-GB"/>
              </w:rPr>
            </w:pPr>
            <w:r w:rsidRPr="007337C6">
              <w:rPr>
                <w:rFonts w:ascii="Trebuchet MS" w:hAnsi="Trebuchet MS" w:cs="Calibri"/>
                <w:color w:val="000000"/>
                <w:sz w:val="18"/>
                <w:szCs w:val="18"/>
              </w:rPr>
              <w:t>135%</w:t>
            </w:r>
          </w:p>
        </w:tc>
        <w:tc>
          <w:tcPr>
            <w:tcW w:w="1075" w:type="dxa"/>
            <w:tcBorders>
              <w:top w:val="nil"/>
              <w:left w:val="nil"/>
              <w:bottom w:val="nil"/>
              <w:right w:val="nil"/>
            </w:tcBorders>
            <w:shd w:val="clear" w:color="auto" w:fill="auto"/>
            <w:noWrap/>
            <w:vAlign w:val="center"/>
            <w:hideMark/>
          </w:tcPr>
          <w:p w14:paraId="44F2B5D2" w14:textId="3F2A6E7E" w:rsidR="00013ACF" w:rsidRPr="007337C6" w:rsidRDefault="00013ACF" w:rsidP="00013ACF">
            <w:pPr>
              <w:spacing w:after="0" w:line="240" w:lineRule="auto"/>
              <w:jc w:val="right"/>
              <w:rPr>
                <w:rFonts w:ascii="Trebuchet MS" w:eastAsia="Times New Roman" w:hAnsi="Trebuchet MS" w:cs="Calibri"/>
                <w:color w:val="000000"/>
                <w:sz w:val="18"/>
                <w:szCs w:val="18"/>
                <w:lang w:eastAsia="en-GB"/>
              </w:rPr>
            </w:pPr>
            <w:r w:rsidRPr="007337C6">
              <w:rPr>
                <w:rFonts w:ascii="Trebuchet MS" w:hAnsi="Trebuchet MS" w:cs="Calibri"/>
                <w:color w:val="000000"/>
                <w:sz w:val="18"/>
                <w:szCs w:val="18"/>
              </w:rPr>
              <w:t>135%</w:t>
            </w:r>
          </w:p>
        </w:tc>
        <w:tc>
          <w:tcPr>
            <w:tcW w:w="223" w:type="dxa"/>
            <w:tcBorders>
              <w:top w:val="nil"/>
              <w:left w:val="nil"/>
              <w:bottom w:val="nil"/>
              <w:right w:val="nil"/>
            </w:tcBorders>
            <w:shd w:val="clear" w:color="auto" w:fill="auto"/>
            <w:noWrap/>
            <w:vAlign w:val="bottom"/>
            <w:hideMark/>
          </w:tcPr>
          <w:p w14:paraId="2E36142E" w14:textId="77777777" w:rsidR="00013ACF" w:rsidRPr="007337C6" w:rsidRDefault="00013ACF" w:rsidP="00013ACF">
            <w:pPr>
              <w:spacing w:after="0" w:line="240" w:lineRule="auto"/>
              <w:jc w:val="right"/>
              <w:rPr>
                <w:rFonts w:ascii="Trebuchet MS" w:eastAsia="Times New Roman" w:hAnsi="Trebuchet MS" w:cs="Calibri"/>
                <w:color w:val="000000"/>
                <w:sz w:val="18"/>
                <w:szCs w:val="18"/>
                <w:lang w:eastAsia="en-GB"/>
              </w:rPr>
            </w:pPr>
          </w:p>
        </w:tc>
        <w:tc>
          <w:tcPr>
            <w:tcW w:w="715" w:type="dxa"/>
            <w:tcBorders>
              <w:top w:val="nil"/>
              <w:left w:val="nil"/>
              <w:bottom w:val="nil"/>
              <w:right w:val="nil"/>
            </w:tcBorders>
            <w:shd w:val="clear" w:color="auto" w:fill="auto"/>
            <w:noWrap/>
            <w:vAlign w:val="center"/>
            <w:hideMark/>
          </w:tcPr>
          <w:p w14:paraId="6BB0E8D9" w14:textId="59DDBFFF" w:rsidR="00013ACF" w:rsidRPr="007337C6" w:rsidRDefault="00013ACF" w:rsidP="00013ACF">
            <w:pPr>
              <w:spacing w:after="0" w:line="240" w:lineRule="auto"/>
              <w:rPr>
                <w:rFonts w:ascii="Trebuchet MS" w:eastAsia="Times New Roman" w:hAnsi="Trebuchet MS" w:cs="Calibri"/>
                <w:color w:val="000000"/>
                <w:sz w:val="18"/>
                <w:szCs w:val="18"/>
                <w:lang w:eastAsia="en-GB"/>
              </w:rPr>
            </w:pPr>
            <w:r w:rsidRPr="007337C6">
              <w:rPr>
                <w:rFonts w:ascii="Trebuchet MS" w:hAnsi="Trebuchet MS" w:cs="Calibri"/>
                <w:color w:val="000000"/>
                <w:sz w:val="18"/>
                <w:szCs w:val="18"/>
              </w:rPr>
              <w:t>target</w:t>
            </w:r>
          </w:p>
        </w:tc>
        <w:tc>
          <w:tcPr>
            <w:tcW w:w="1342" w:type="dxa"/>
            <w:tcBorders>
              <w:top w:val="nil"/>
              <w:left w:val="nil"/>
              <w:bottom w:val="nil"/>
              <w:right w:val="nil"/>
            </w:tcBorders>
            <w:shd w:val="clear" w:color="auto" w:fill="auto"/>
            <w:noWrap/>
            <w:vAlign w:val="center"/>
            <w:hideMark/>
          </w:tcPr>
          <w:p w14:paraId="7CE1B940" w14:textId="2B1B8CE1" w:rsidR="00013ACF" w:rsidRPr="007337C6" w:rsidRDefault="00013ACF" w:rsidP="00013ACF">
            <w:pPr>
              <w:spacing w:after="0" w:line="240" w:lineRule="auto"/>
              <w:jc w:val="right"/>
              <w:rPr>
                <w:rFonts w:ascii="Trebuchet MS" w:eastAsia="Times New Roman" w:hAnsi="Trebuchet MS" w:cs="Calibri"/>
                <w:color w:val="000000"/>
                <w:sz w:val="18"/>
                <w:szCs w:val="18"/>
                <w:lang w:eastAsia="en-GB"/>
              </w:rPr>
            </w:pPr>
            <w:r w:rsidRPr="007337C6">
              <w:rPr>
                <w:rFonts w:ascii="Trebuchet MS" w:hAnsi="Trebuchet MS" w:cs="Calibri"/>
                <w:color w:val="000000"/>
                <w:sz w:val="18"/>
                <w:szCs w:val="18"/>
              </w:rPr>
              <w:t>125%</w:t>
            </w:r>
          </w:p>
        </w:tc>
        <w:tc>
          <w:tcPr>
            <w:tcW w:w="1075" w:type="dxa"/>
            <w:tcBorders>
              <w:top w:val="nil"/>
              <w:left w:val="nil"/>
              <w:bottom w:val="nil"/>
              <w:right w:val="nil"/>
            </w:tcBorders>
            <w:shd w:val="clear" w:color="auto" w:fill="auto"/>
            <w:noWrap/>
            <w:vAlign w:val="center"/>
            <w:hideMark/>
          </w:tcPr>
          <w:p w14:paraId="7A8CC628" w14:textId="5AF85526" w:rsidR="00013ACF" w:rsidRPr="007337C6" w:rsidRDefault="00013ACF" w:rsidP="00013ACF">
            <w:pPr>
              <w:spacing w:after="0" w:line="240" w:lineRule="auto"/>
              <w:jc w:val="right"/>
              <w:rPr>
                <w:rFonts w:ascii="Trebuchet MS" w:eastAsia="Times New Roman" w:hAnsi="Trebuchet MS" w:cs="Calibri"/>
                <w:color w:val="000000"/>
                <w:sz w:val="18"/>
                <w:szCs w:val="18"/>
                <w:lang w:eastAsia="en-GB"/>
              </w:rPr>
            </w:pPr>
            <w:r w:rsidRPr="007337C6">
              <w:rPr>
                <w:rFonts w:ascii="Trebuchet MS" w:hAnsi="Trebuchet MS" w:cs="Calibri"/>
                <w:color w:val="000000"/>
                <w:sz w:val="18"/>
                <w:szCs w:val="18"/>
              </w:rPr>
              <w:t>125%</w:t>
            </w:r>
          </w:p>
        </w:tc>
        <w:tc>
          <w:tcPr>
            <w:tcW w:w="223" w:type="dxa"/>
            <w:tcBorders>
              <w:top w:val="nil"/>
              <w:left w:val="nil"/>
              <w:bottom w:val="nil"/>
              <w:right w:val="nil"/>
            </w:tcBorders>
            <w:shd w:val="clear" w:color="auto" w:fill="auto"/>
            <w:noWrap/>
            <w:vAlign w:val="bottom"/>
            <w:hideMark/>
          </w:tcPr>
          <w:p w14:paraId="059ADAC1" w14:textId="77777777" w:rsidR="00013ACF" w:rsidRPr="007337C6" w:rsidRDefault="00013ACF" w:rsidP="00013ACF">
            <w:pPr>
              <w:spacing w:after="0" w:line="240" w:lineRule="auto"/>
              <w:jc w:val="right"/>
              <w:rPr>
                <w:rFonts w:ascii="Trebuchet MS" w:eastAsia="Times New Roman" w:hAnsi="Trebuchet MS" w:cs="Calibri"/>
                <w:color w:val="000000"/>
                <w:sz w:val="18"/>
                <w:szCs w:val="18"/>
                <w:lang w:eastAsia="en-GB"/>
              </w:rPr>
            </w:pPr>
          </w:p>
        </w:tc>
        <w:tc>
          <w:tcPr>
            <w:tcW w:w="715" w:type="dxa"/>
            <w:tcBorders>
              <w:top w:val="nil"/>
              <w:left w:val="nil"/>
              <w:bottom w:val="nil"/>
              <w:right w:val="nil"/>
            </w:tcBorders>
            <w:shd w:val="clear" w:color="auto" w:fill="auto"/>
            <w:noWrap/>
            <w:vAlign w:val="center"/>
            <w:hideMark/>
          </w:tcPr>
          <w:p w14:paraId="20C6D916" w14:textId="03E7829A" w:rsidR="00013ACF" w:rsidRPr="007337C6" w:rsidRDefault="00013ACF" w:rsidP="00013ACF">
            <w:pPr>
              <w:spacing w:after="0" w:line="240" w:lineRule="auto"/>
              <w:rPr>
                <w:rFonts w:ascii="Trebuchet MS" w:eastAsia="Times New Roman" w:hAnsi="Trebuchet MS" w:cs="Calibri"/>
                <w:color w:val="000000"/>
                <w:sz w:val="18"/>
                <w:szCs w:val="18"/>
                <w:lang w:eastAsia="en-GB"/>
              </w:rPr>
            </w:pPr>
            <w:r w:rsidRPr="007337C6">
              <w:rPr>
                <w:rFonts w:ascii="Trebuchet MS" w:hAnsi="Trebuchet MS" w:cs="Calibri"/>
                <w:color w:val="000000"/>
                <w:sz w:val="18"/>
                <w:szCs w:val="18"/>
              </w:rPr>
              <w:t>target</w:t>
            </w:r>
          </w:p>
        </w:tc>
        <w:tc>
          <w:tcPr>
            <w:tcW w:w="1286" w:type="dxa"/>
            <w:tcBorders>
              <w:top w:val="nil"/>
              <w:left w:val="nil"/>
              <w:bottom w:val="nil"/>
              <w:right w:val="nil"/>
            </w:tcBorders>
            <w:shd w:val="clear" w:color="auto" w:fill="auto"/>
            <w:noWrap/>
            <w:vAlign w:val="center"/>
            <w:hideMark/>
          </w:tcPr>
          <w:p w14:paraId="0782D299" w14:textId="638A01B8" w:rsidR="00013ACF" w:rsidRPr="007337C6" w:rsidRDefault="00013ACF" w:rsidP="00013ACF">
            <w:pPr>
              <w:spacing w:after="0" w:line="240" w:lineRule="auto"/>
              <w:jc w:val="right"/>
              <w:rPr>
                <w:rFonts w:ascii="Trebuchet MS" w:eastAsia="Times New Roman" w:hAnsi="Trebuchet MS" w:cs="Calibri"/>
                <w:color w:val="000000"/>
                <w:sz w:val="18"/>
                <w:szCs w:val="18"/>
                <w:lang w:eastAsia="en-GB"/>
              </w:rPr>
            </w:pPr>
            <w:r w:rsidRPr="007337C6">
              <w:rPr>
                <w:rFonts w:ascii="Trebuchet MS" w:hAnsi="Trebuchet MS" w:cs="Calibri"/>
                <w:color w:val="000000"/>
                <w:sz w:val="18"/>
                <w:szCs w:val="18"/>
              </w:rPr>
              <w:t>140%</w:t>
            </w:r>
          </w:p>
        </w:tc>
        <w:tc>
          <w:tcPr>
            <w:tcW w:w="1075" w:type="dxa"/>
            <w:tcBorders>
              <w:top w:val="nil"/>
              <w:left w:val="nil"/>
              <w:bottom w:val="nil"/>
              <w:right w:val="nil"/>
            </w:tcBorders>
            <w:shd w:val="clear" w:color="auto" w:fill="auto"/>
            <w:noWrap/>
            <w:vAlign w:val="center"/>
            <w:hideMark/>
          </w:tcPr>
          <w:p w14:paraId="40D5F480" w14:textId="44EA0E3C" w:rsidR="00013ACF" w:rsidRPr="007337C6" w:rsidRDefault="00013ACF" w:rsidP="00013ACF">
            <w:pPr>
              <w:spacing w:after="0" w:line="240" w:lineRule="auto"/>
              <w:jc w:val="right"/>
              <w:rPr>
                <w:rFonts w:ascii="Trebuchet MS" w:eastAsia="Times New Roman" w:hAnsi="Trebuchet MS" w:cs="Calibri"/>
                <w:color w:val="000000"/>
                <w:sz w:val="18"/>
                <w:szCs w:val="18"/>
                <w:lang w:eastAsia="en-GB"/>
              </w:rPr>
            </w:pPr>
            <w:r w:rsidRPr="007337C6">
              <w:rPr>
                <w:rFonts w:ascii="Trebuchet MS" w:hAnsi="Trebuchet MS" w:cs="Calibri"/>
                <w:color w:val="000000"/>
                <w:sz w:val="18"/>
                <w:szCs w:val="18"/>
              </w:rPr>
              <w:t>140%</w:t>
            </w:r>
          </w:p>
        </w:tc>
      </w:tr>
    </w:tbl>
    <w:p w14:paraId="2CF50D61" w14:textId="1914350E" w:rsidR="00A241F6" w:rsidRPr="007337C6" w:rsidRDefault="0065276E" w:rsidP="0083430F">
      <w:pPr>
        <w:rPr>
          <w:rFonts w:ascii="Trebuchet MS" w:hAnsi="Trebuchet MS" w:cs="Arial"/>
          <w:sz w:val="20"/>
          <w:szCs w:val="20"/>
        </w:rPr>
      </w:pPr>
      <w:r w:rsidRPr="007337C6">
        <w:rPr>
          <w:rFonts w:ascii="Trebuchet MS" w:hAnsi="Trebuchet MS" w:cs="Arial"/>
          <w:sz w:val="20"/>
          <w:szCs w:val="20"/>
        </w:rPr>
        <w:t xml:space="preserve">In conclusion, </w:t>
      </w:r>
      <w:r w:rsidR="00C407B1" w:rsidRPr="007337C6">
        <w:rPr>
          <w:rFonts w:ascii="Trebuchet MS" w:hAnsi="Trebuchet MS" w:cs="Arial"/>
          <w:sz w:val="20"/>
          <w:szCs w:val="20"/>
        </w:rPr>
        <w:t>the Transfer</w:t>
      </w:r>
      <w:r w:rsidRPr="007337C6">
        <w:rPr>
          <w:rFonts w:ascii="Trebuchet MS" w:hAnsi="Trebuchet MS" w:cs="Arial"/>
          <w:sz w:val="20"/>
          <w:szCs w:val="20"/>
        </w:rPr>
        <w:t xml:space="preserve">ring and non-Transferring policyholders of AGIL and LGI will benefit from well capitalised companies.  </w:t>
      </w:r>
    </w:p>
    <w:p w14:paraId="2F6F3734" w14:textId="7BD2BC59" w:rsidR="00A30F80" w:rsidRPr="007337C6" w:rsidRDefault="00A30F80" w:rsidP="00421D3C">
      <w:pPr>
        <w:pStyle w:val="Heading1"/>
        <w:numPr>
          <w:ilvl w:val="2"/>
          <w:numId w:val="1"/>
        </w:numPr>
        <w:rPr>
          <w:color w:val="0070C0"/>
        </w:rPr>
      </w:pPr>
      <w:bookmarkStart w:id="73" w:name="_Toc52451878"/>
      <w:r w:rsidRPr="007337C6">
        <w:rPr>
          <w:color w:val="0070C0"/>
        </w:rPr>
        <w:t xml:space="preserve">Year End 2019 with impact of </w:t>
      </w:r>
      <w:r w:rsidR="005E55C1">
        <w:rPr>
          <w:color w:val="0070C0"/>
        </w:rPr>
        <w:t>COVID-19</w:t>
      </w:r>
      <w:bookmarkEnd w:id="73"/>
      <w:r w:rsidRPr="007337C6">
        <w:rPr>
          <w:color w:val="0070C0"/>
        </w:rPr>
        <w:t xml:space="preserve"> </w:t>
      </w:r>
    </w:p>
    <w:p w14:paraId="71723050" w14:textId="77777777" w:rsidR="00421D3C" w:rsidRPr="007337C6" w:rsidRDefault="00421D3C" w:rsidP="00E753FE">
      <w:pPr>
        <w:rPr>
          <w:rFonts w:ascii="Trebuchet MS" w:hAnsi="Trebuchet MS" w:cs="Arial"/>
          <w:b/>
          <w:bCs/>
          <w:sz w:val="20"/>
          <w:szCs w:val="20"/>
        </w:rPr>
      </w:pPr>
    </w:p>
    <w:p w14:paraId="2348872B" w14:textId="40AB8D1E" w:rsidR="00DD4F18" w:rsidRPr="007337C6" w:rsidRDefault="00DD4F18" w:rsidP="00E753FE">
      <w:pPr>
        <w:rPr>
          <w:rFonts w:ascii="Trebuchet MS" w:hAnsi="Trebuchet MS" w:cs="Arial"/>
          <w:sz w:val="20"/>
          <w:szCs w:val="20"/>
        </w:rPr>
      </w:pPr>
      <w:r w:rsidRPr="007337C6">
        <w:rPr>
          <w:rFonts w:ascii="Trebuchet MS" w:hAnsi="Trebuchet MS" w:cs="Arial"/>
          <w:sz w:val="20"/>
          <w:szCs w:val="20"/>
        </w:rPr>
        <w:t xml:space="preserve">In this section we use the assessment done in the section above and apply the impact of </w:t>
      </w:r>
      <w:r w:rsidR="005E55C1">
        <w:rPr>
          <w:rFonts w:ascii="Trebuchet MS" w:hAnsi="Trebuchet MS" w:cs="Arial"/>
          <w:sz w:val="20"/>
          <w:szCs w:val="20"/>
        </w:rPr>
        <w:t>COVID-19</w:t>
      </w:r>
      <w:r w:rsidR="00257999" w:rsidRPr="007337C6">
        <w:rPr>
          <w:rFonts w:ascii="Trebuchet MS" w:hAnsi="Trebuchet MS" w:cs="Arial"/>
          <w:sz w:val="20"/>
          <w:szCs w:val="20"/>
        </w:rPr>
        <w:t>, estimated as at YE19.</w:t>
      </w:r>
      <w:r w:rsidR="00257999" w:rsidRPr="007337C6">
        <w:rPr>
          <w:rStyle w:val="FootnoteReference"/>
          <w:rFonts w:ascii="Trebuchet MS" w:hAnsi="Trebuchet MS" w:cs="Arial"/>
          <w:sz w:val="20"/>
          <w:szCs w:val="20"/>
        </w:rPr>
        <w:footnoteReference w:id="10"/>
      </w:r>
    </w:p>
    <w:p w14:paraId="2CCF4A62" w14:textId="23ACF8B5" w:rsidR="00E71215" w:rsidRPr="007337C6" w:rsidRDefault="00E71215" w:rsidP="00E753FE">
      <w:pPr>
        <w:rPr>
          <w:rFonts w:ascii="Trebuchet MS" w:hAnsi="Trebuchet MS" w:cs="Arial"/>
          <w:sz w:val="20"/>
          <w:szCs w:val="20"/>
        </w:rPr>
      </w:pPr>
      <w:r w:rsidRPr="007337C6">
        <w:rPr>
          <w:rFonts w:ascii="Trebuchet MS" w:hAnsi="Trebuchet MS" w:cs="Arial"/>
          <w:sz w:val="20"/>
          <w:szCs w:val="20"/>
        </w:rPr>
        <w:t xml:space="preserve">The qualitative reasoning explaining how </w:t>
      </w:r>
      <w:r w:rsidR="005E55C1">
        <w:rPr>
          <w:rFonts w:ascii="Trebuchet MS" w:hAnsi="Trebuchet MS" w:cs="Arial"/>
          <w:sz w:val="20"/>
          <w:szCs w:val="20"/>
        </w:rPr>
        <w:t>COVID-19</w:t>
      </w:r>
      <w:r w:rsidRPr="007337C6">
        <w:rPr>
          <w:rFonts w:ascii="Trebuchet MS" w:hAnsi="Trebuchet MS" w:cs="Arial"/>
          <w:sz w:val="20"/>
          <w:szCs w:val="20"/>
        </w:rPr>
        <w:t xml:space="preserve"> impacts the business of AGIL and LGI presented in the initial report has not changed. Please refer to the initial report for details of how </w:t>
      </w:r>
      <w:r w:rsidR="005E55C1">
        <w:rPr>
          <w:rFonts w:ascii="Trebuchet MS" w:hAnsi="Trebuchet MS" w:cs="Arial"/>
          <w:sz w:val="20"/>
          <w:szCs w:val="20"/>
        </w:rPr>
        <w:t>COVID-19</w:t>
      </w:r>
      <w:r w:rsidRPr="007337C6">
        <w:rPr>
          <w:rFonts w:ascii="Trebuchet MS" w:hAnsi="Trebuchet MS" w:cs="Arial"/>
          <w:sz w:val="20"/>
          <w:szCs w:val="20"/>
        </w:rPr>
        <w:t xml:space="preserve"> impacts AGIL and LGI businesses.</w:t>
      </w:r>
    </w:p>
    <w:p w14:paraId="7F35A532" w14:textId="18DF60F8" w:rsidR="00991558" w:rsidRPr="007337C6" w:rsidRDefault="00E71215" w:rsidP="00991558">
      <w:pPr>
        <w:rPr>
          <w:rFonts w:ascii="Trebuchet MS" w:hAnsi="Trebuchet MS" w:cs="Arial"/>
          <w:sz w:val="20"/>
          <w:szCs w:val="20"/>
        </w:rPr>
      </w:pPr>
      <w:r w:rsidRPr="007337C6">
        <w:rPr>
          <w:rFonts w:ascii="Trebuchet MS" w:hAnsi="Trebuchet MS" w:cs="Arial"/>
          <w:sz w:val="20"/>
          <w:szCs w:val="20"/>
        </w:rPr>
        <w:t xml:space="preserve">We have applied stresses to the </w:t>
      </w:r>
      <w:proofErr w:type="spellStart"/>
      <w:r w:rsidRPr="007337C6">
        <w:rPr>
          <w:rFonts w:ascii="Trebuchet MS" w:hAnsi="Trebuchet MS" w:cs="Arial"/>
          <w:sz w:val="20"/>
          <w:szCs w:val="20"/>
        </w:rPr>
        <w:t>TPs</w:t>
      </w:r>
      <w:proofErr w:type="spellEnd"/>
      <w:r w:rsidRPr="007337C6">
        <w:rPr>
          <w:rFonts w:ascii="Trebuchet MS" w:hAnsi="Trebuchet MS" w:cs="Arial"/>
          <w:sz w:val="20"/>
          <w:szCs w:val="20"/>
        </w:rPr>
        <w:t xml:space="preserve"> and investment assets of AGIL and LGI to allow for the financial impact of </w:t>
      </w:r>
      <w:r w:rsidR="005E55C1">
        <w:rPr>
          <w:rFonts w:ascii="Trebuchet MS" w:hAnsi="Trebuchet MS" w:cs="Arial"/>
          <w:sz w:val="20"/>
          <w:szCs w:val="20"/>
        </w:rPr>
        <w:t>COVID-19</w:t>
      </w:r>
      <w:r w:rsidR="00991558" w:rsidRPr="007337C6">
        <w:rPr>
          <w:rFonts w:ascii="Trebuchet MS" w:hAnsi="Trebuchet MS" w:cs="Arial"/>
          <w:sz w:val="20"/>
          <w:szCs w:val="20"/>
        </w:rPr>
        <w:t xml:space="preserve">. The impact of </w:t>
      </w:r>
      <w:r w:rsidR="005E55C1">
        <w:rPr>
          <w:rFonts w:ascii="Trebuchet MS" w:hAnsi="Trebuchet MS" w:cs="Arial"/>
          <w:sz w:val="20"/>
          <w:szCs w:val="20"/>
        </w:rPr>
        <w:t>COVID-19</w:t>
      </w:r>
      <w:r w:rsidR="00991558" w:rsidRPr="007337C6">
        <w:rPr>
          <w:rFonts w:ascii="Trebuchet MS" w:hAnsi="Trebuchet MS" w:cs="Arial"/>
          <w:sz w:val="20"/>
          <w:szCs w:val="20"/>
        </w:rPr>
        <w:t xml:space="preserve"> on the liabilities is assumed to be </w:t>
      </w:r>
      <w:proofErr w:type="gramStart"/>
      <w:r w:rsidR="00991558" w:rsidRPr="007337C6">
        <w:rPr>
          <w:rFonts w:ascii="Trebuchet MS" w:hAnsi="Trebuchet MS" w:cs="Arial"/>
          <w:sz w:val="20"/>
          <w:szCs w:val="20"/>
        </w:rPr>
        <w:t>an uplift</w:t>
      </w:r>
      <w:proofErr w:type="gramEnd"/>
      <w:r w:rsidR="00991558" w:rsidRPr="007337C6">
        <w:rPr>
          <w:rFonts w:ascii="Trebuchet MS" w:hAnsi="Trebuchet MS" w:cs="Arial"/>
          <w:sz w:val="20"/>
          <w:szCs w:val="20"/>
        </w:rPr>
        <w:t xml:space="preserve"> to the Technical Provision of 3% for LGI and 2% for AGIL. The impact of </w:t>
      </w:r>
      <w:r w:rsidR="005E55C1">
        <w:rPr>
          <w:rFonts w:ascii="Trebuchet MS" w:hAnsi="Trebuchet MS" w:cs="Arial"/>
          <w:sz w:val="20"/>
          <w:szCs w:val="20"/>
        </w:rPr>
        <w:t>COVID-19</w:t>
      </w:r>
      <w:r w:rsidR="00991558" w:rsidRPr="007337C6">
        <w:rPr>
          <w:rFonts w:ascii="Trebuchet MS" w:hAnsi="Trebuchet MS" w:cs="Arial"/>
          <w:sz w:val="20"/>
          <w:szCs w:val="20"/>
        </w:rPr>
        <w:t xml:space="preserve"> on the assets is assumed to be a reduction of asset values by 5% for AGIL’s short term assets and 3% for LGI’s assets which have a longer term. </w:t>
      </w:r>
    </w:p>
    <w:p w14:paraId="408545FF" w14:textId="75C60AE5" w:rsidR="00E71215" w:rsidRPr="007337C6" w:rsidRDefault="00E71215" w:rsidP="00E753FE">
      <w:pPr>
        <w:rPr>
          <w:rFonts w:ascii="Trebuchet MS" w:hAnsi="Trebuchet MS" w:cs="Arial"/>
          <w:sz w:val="20"/>
          <w:szCs w:val="20"/>
        </w:rPr>
      </w:pPr>
      <w:r w:rsidRPr="007337C6">
        <w:rPr>
          <w:rFonts w:ascii="Trebuchet MS" w:hAnsi="Trebuchet MS" w:cs="Arial"/>
          <w:sz w:val="20"/>
          <w:szCs w:val="20"/>
        </w:rPr>
        <w:t xml:space="preserve">These stresses have not changed </w:t>
      </w:r>
      <w:r w:rsidR="00552425" w:rsidRPr="007337C6">
        <w:rPr>
          <w:rFonts w:ascii="Trebuchet MS" w:hAnsi="Trebuchet MS" w:cs="Arial"/>
          <w:sz w:val="20"/>
          <w:szCs w:val="20"/>
        </w:rPr>
        <w:t>from the initial</w:t>
      </w:r>
      <w:r w:rsidRPr="007337C6">
        <w:rPr>
          <w:rFonts w:ascii="Trebuchet MS" w:hAnsi="Trebuchet MS" w:cs="Arial"/>
          <w:sz w:val="20"/>
          <w:szCs w:val="20"/>
        </w:rPr>
        <w:t xml:space="preserve"> report. Note that the actual observation in movements in claims indicates that the </w:t>
      </w:r>
      <w:r w:rsidR="00991558" w:rsidRPr="007337C6">
        <w:rPr>
          <w:rFonts w:ascii="Trebuchet MS" w:hAnsi="Trebuchet MS" w:cs="Arial"/>
          <w:sz w:val="20"/>
          <w:szCs w:val="20"/>
        </w:rPr>
        <w:t>2</w:t>
      </w:r>
      <w:r w:rsidRPr="007337C6">
        <w:rPr>
          <w:rFonts w:ascii="Trebuchet MS" w:hAnsi="Trebuchet MS" w:cs="Arial"/>
          <w:sz w:val="20"/>
          <w:szCs w:val="20"/>
        </w:rPr>
        <w:t xml:space="preserve">% and </w:t>
      </w:r>
      <w:r w:rsidR="00991558" w:rsidRPr="007337C6">
        <w:rPr>
          <w:rFonts w:ascii="Trebuchet MS" w:hAnsi="Trebuchet MS" w:cs="Arial"/>
          <w:sz w:val="20"/>
          <w:szCs w:val="20"/>
        </w:rPr>
        <w:t>3</w:t>
      </w:r>
      <w:r w:rsidRPr="007337C6">
        <w:rPr>
          <w:rFonts w:ascii="Trebuchet MS" w:hAnsi="Trebuchet MS" w:cs="Arial"/>
          <w:sz w:val="20"/>
          <w:szCs w:val="20"/>
        </w:rPr>
        <w:t xml:space="preserve">% stresses applied to AGIL and LGI </w:t>
      </w:r>
      <w:proofErr w:type="spellStart"/>
      <w:r w:rsidRPr="007337C6">
        <w:rPr>
          <w:rFonts w:ascii="Trebuchet MS" w:hAnsi="Trebuchet MS" w:cs="Arial"/>
          <w:sz w:val="20"/>
          <w:szCs w:val="20"/>
        </w:rPr>
        <w:t>TPs</w:t>
      </w:r>
      <w:proofErr w:type="spellEnd"/>
      <w:r w:rsidRPr="007337C6">
        <w:rPr>
          <w:rFonts w:ascii="Trebuchet MS" w:hAnsi="Trebuchet MS" w:cs="Arial"/>
          <w:sz w:val="20"/>
          <w:szCs w:val="20"/>
        </w:rPr>
        <w:t xml:space="preserve"> </w:t>
      </w:r>
      <w:r w:rsidR="000F112A" w:rsidRPr="007337C6">
        <w:rPr>
          <w:rFonts w:ascii="Trebuchet MS" w:hAnsi="Trebuchet MS" w:cs="Arial"/>
          <w:sz w:val="20"/>
          <w:szCs w:val="20"/>
        </w:rPr>
        <w:t xml:space="preserve">reflect medium term uncertainty regarding the outlook for investment conditions and the possibility of a double dip recession potentially linked to a double dip resurgence of </w:t>
      </w:r>
      <w:r w:rsidR="005E55C1">
        <w:rPr>
          <w:rFonts w:ascii="Trebuchet MS" w:hAnsi="Trebuchet MS" w:cs="Arial"/>
          <w:sz w:val="20"/>
          <w:szCs w:val="20"/>
        </w:rPr>
        <w:t>COVID-19</w:t>
      </w:r>
      <w:r w:rsidR="000F112A" w:rsidRPr="007337C6">
        <w:rPr>
          <w:rFonts w:ascii="Trebuchet MS" w:hAnsi="Trebuchet MS" w:cs="Arial"/>
          <w:sz w:val="20"/>
          <w:szCs w:val="20"/>
        </w:rPr>
        <w:t xml:space="preserve"> in various EU economies – although in a purely mathematical sense these stresses could be viewed as conservative</w:t>
      </w:r>
      <w:r w:rsidR="00682F1B">
        <w:rPr>
          <w:rFonts w:ascii="Trebuchet MS" w:hAnsi="Trebuchet MS" w:cs="Arial"/>
          <w:sz w:val="20"/>
          <w:szCs w:val="20"/>
        </w:rPr>
        <w:t>,</w:t>
      </w:r>
      <w:r w:rsidR="000F112A" w:rsidRPr="007337C6">
        <w:rPr>
          <w:rFonts w:ascii="Trebuchet MS" w:hAnsi="Trebuchet MS" w:cs="Arial"/>
          <w:sz w:val="20"/>
          <w:szCs w:val="20"/>
        </w:rPr>
        <w:t xml:space="preserve"> they reflect the uncertainties described</w:t>
      </w:r>
      <w:r w:rsidRPr="007337C6">
        <w:rPr>
          <w:rFonts w:ascii="Trebuchet MS" w:hAnsi="Trebuchet MS" w:cs="Arial"/>
          <w:sz w:val="20"/>
          <w:szCs w:val="20"/>
        </w:rPr>
        <w:t xml:space="preserve">. In the first half of 2020 no significantly adverse claims activity has been observed (compared to previous years). In fact, there has been a reduction in claims frequency on some portfolios (e.g. AGIL Mobile phones) with a minor increase in claims severity, inferring an overall reduction in total incurred claims. AGIL claims have very short </w:t>
      </w:r>
      <w:proofErr w:type="spellStart"/>
      <w:r w:rsidRPr="007337C6">
        <w:rPr>
          <w:rFonts w:ascii="Trebuchet MS" w:hAnsi="Trebuchet MS" w:cs="Arial"/>
          <w:sz w:val="20"/>
          <w:szCs w:val="20"/>
        </w:rPr>
        <w:t>IBNR</w:t>
      </w:r>
      <w:proofErr w:type="spellEnd"/>
      <w:r w:rsidRPr="007337C6">
        <w:rPr>
          <w:rFonts w:ascii="Trebuchet MS" w:hAnsi="Trebuchet MS" w:cs="Arial"/>
          <w:sz w:val="20"/>
          <w:szCs w:val="20"/>
        </w:rPr>
        <w:t xml:space="preserve"> and even if we allow for more </w:t>
      </w:r>
      <w:proofErr w:type="spellStart"/>
      <w:r w:rsidRPr="007337C6">
        <w:rPr>
          <w:rFonts w:ascii="Trebuchet MS" w:hAnsi="Trebuchet MS" w:cs="Arial"/>
          <w:sz w:val="20"/>
          <w:szCs w:val="20"/>
        </w:rPr>
        <w:t>IBNR</w:t>
      </w:r>
      <w:proofErr w:type="spellEnd"/>
      <w:r w:rsidRPr="007337C6">
        <w:rPr>
          <w:rFonts w:ascii="Trebuchet MS" w:hAnsi="Trebuchet MS" w:cs="Arial"/>
          <w:sz w:val="20"/>
          <w:szCs w:val="20"/>
        </w:rPr>
        <w:t xml:space="preserve"> in 2020 than usual, we are still in low claims environment. However, </w:t>
      </w:r>
      <w:r w:rsidR="000F112A" w:rsidRPr="007337C6">
        <w:rPr>
          <w:rFonts w:ascii="Trebuchet MS" w:hAnsi="Trebuchet MS" w:cs="Arial"/>
          <w:sz w:val="20"/>
          <w:szCs w:val="20"/>
        </w:rPr>
        <w:t xml:space="preserve">as noted </w:t>
      </w:r>
      <w:r w:rsidRPr="007337C6">
        <w:rPr>
          <w:rFonts w:ascii="Trebuchet MS" w:hAnsi="Trebuchet MS" w:cs="Arial"/>
          <w:sz w:val="20"/>
          <w:szCs w:val="20"/>
        </w:rPr>
        <w:t xml:space="preserve">we decided to keep the </w:t>
      </w:r>
      <w:r w:rsidR="005E55C1">
        <w:rPr>
          <w:rFonts w:ascii="Trebuchet MS" w:hAnsi="Trebuchet MS" w:cs="Arial"/>
          <w:sz w:val="20"/>
          <w:szCs w:val="20"/>
        </w:rPr>
        <w:t>COVID-19</w:t>
      </w:r>
      <w:r w:rsidRPr="007337C6">
        <w:rPr>
          <w:rFonts w:ascii="Trebuchet MS" w:hAnsi="Trebuchet MS" w:cs="Arial"/>
          <w:sz w:val="20"/>
          <w:szCs w:val="20"/>
        </w:rPr>
        <w:t xml:space="preserve"> stresses as in the initial </w:t>
      </w:r>
      <w:r w:rsidR="00CF2605" w:rsidRPr="007337C6">
        <w:rPr>
          <w:rFonts w:ascii="Trebuchet MS" w:hAnsi="Trebuchet MS" w:cs="Arial"/>
          <w:sz w:val="20"/>
          <w:szCs w:val="20"/>
        </w:rPr>
        <w:t xml:space="preserve">report; this allows for the uncertain nature of the economic outlook in the UK and Europe – and in particular to allow for any second wave and double dip economic impact in UK and Europe. </w:t>
      </w:r>
    </w:p>
    <w:p w14:paraId="6349F384" w14:textId="2554B9E3" w:rsidR="00C26E3F" w:rsidRPr="007337C6" w:rsidRDefault="004B653D" w:rsidP="00E753FE">
      <w:pPr>
        <w:rPr>
          <w:rFonts w:ascii="Trebuchet MS" w:hAnsi="Trebuchet MS" w:cs="Arial"/>
          <w:sz w:val="20"/>
          <w:szCs w:val="20"/>
        </w:rPr>
      </w:pPr>
      <w:r w:rsidRPr="007337C6">
        <w:rPr>
          <w:rFonts w:ascii="Trebuchet MS" w:hAnsi="Trebuchet MS" w:cs="Arial"/>
          <w:sz w:val="20"/>
          <w:szCs w:val="20"/>
        </w:rPr>
        <w:t xml:space="preserve">The Solvency II financials stressed with the impact of </w:t>
      </w:r>
      <w:r w:rsidR="005E55C1">
        <w:rPr>
          <w:rFonts w:ascii="Trebuchet MS" w:hAnsi="Trebuchet MS" w:cs="Arial"/>
          <w:sz w:val="20"/>
          <w:szCs w:val="20"/>
        </w:rPr>
        <w:t>COVID-19</w:t>
      </w:r>
      <w:r w:rsidRPr="007337C6">
        <w:rPr>
          <w:rFonts w:ascii="Trebuchet MS" w:hAnsi="Trebuchet MS" w:cs="Arial"/>
          <w:sz w:val="20"/>
          <w:szCs w:val="20"/>
        </w:rPr>
        <w:t xml:space="preserve"> are presented below.</w:t>
      </w:r>
      <w:r w:rsidR="00AF0BC0" w:rsidRPr="007337C6">
        <w:rPr>
          <w:rFonts w:ascii="Trebuchet MS" w:hAnsi="Trebuchet MS" w:cs="Arial"/>
          <w:sz w:val="20"/>
          <w:szCs w:val="20"/>
        </w:rPr>
        <w:t xml:space="preserve"> </w:t>
      </w:r>
      <w:r w:rsidR="00AF73BF" w:rsidRPr="007337C6">
        <w:rPr>
          <w:rFonts w:ascii="Trebuchet MS" w:hAnsi="Trebuchet MS" w:cs="Arial"/>
          <w:sz w:val="20"/>
          <w:szCs w:val="20"/>
        </w:rPr>
        <w:t xml:space="preserve">In these financials, the impact of </w:t>
      </w:r>
      <w:r w:rsidR="005E55C1">
        <w:rPr>
          <w:rFonts w:ascii="Trebuchet MS" w:hAnsi="Trebuchet MS" w:cs="Arial"/>
          <w:sz w:val="20"/>
          <w:szCs w:val="20"/>
        </w:rPr>
        <w:t>COVID-19</w:t>
      </w:r>
      <w:r w:rsidR="00AF73BF" w:rsidRPr="007337C6">
        <w:rPr>
          <w:rFonts w:ascii="Trebuchet MS" w:hAnsi="Trebuchet MS" w:cs="Arial"/>
          <w:sz w:val="20"/>
          <w:szCs w:val="20"/>
        </w:rPr>
        <w:t xml:space="preserve"> </w:t>
      </w:r>
      <w:r w:rsidR="009F1084" w:rsidRPr="007337C6">
        <w:rPr>
          <w:rFonts w:ascii="Trebuchet MS" w:hAnsi="Trebuchet MS" w:cs="Arial"/>
          <w:sz w:val="20"/>
          <w:szCs w:val="20"/>
        </w:rPr>
        <w:t xml:space="preserve">in the </w:t>
      </w:r>
      <w:proofErr w:type="spellStart"/>
      <w:r w:rsidR="009F1084" w:rsidRPr="007337C6">
        <w:rPr>
          <w:rFonts w:ascii="Trebuchet MS" w:hAnsi="Trebuchet MS" w:cs="Arial"/>
          <w:sz w:val="20"/>
          <w:szCs w:val="20"/>
        </w:rPr>
        <w:t>TPs</w:t>
      </w:r>
      <w:proofErr w:type="spellEnd"/>
      <w:r w:rsidR="009F1084" w:rsidRPr="007337C6">
        <w:rPr>
          <w:rFonts w:ascii="Trebuchet MS" w:hAnsi="Trebuchet MS" w:cs="Arial"/>
          <w:sz w:val="20"/>
          <w:szCs w:val="20"/>
        </w:rPr>
        <w:t xml:space="preserve"> and Assets </w:t>
      </w:r>
      <w:r w:rsidR="00AF73BF" w:rsidRPr="007337C6">
        <w:rPr>
          <w:rFonts w:ascii="Trebuchet MS" w:hAnsi="Trebuchet MS" w:cs="Arial"/>
          <w:sz w:val="20"/>
          <w:szCs w:val="20"/>
        </w:rPr>
        <w:t>is allowed for in the Before Scheme, Impact of Scheme and After Scheme.</w:t>
      </w:r>
    </w:p>
    <w:tbl>
      <w:tblPr>
        <w:tblW w:w="10466" w:type="dxa"/>
        <w:tblLook w:val="04A0" w:firstRow="1" w:lastRow="0" w:firstColumn="1" w:lastColumn="0" w:noHBand="0" w:noVBand="1"/>
      </w:tblPr>
      <w:tblGrid>
        <w:gridCol w:w="921"/>
        <w:gridCol w:w="1766"/>
        <w:gridCol w:w="1088"/>
        <w:gridCol w:w="222"/>
        <w:gridCol w:w="816"/>
        <w:gridCol w:w="1242"/>
        <w:gridCol w:w="1088"/>
        <w:gridCol w:w="222"/>
        <w:gridCol w:w="712"/>
        <w:gridCol w:w="1301"/>
        <w:gridCol w:w="1088"/>
      </w:tblGrid>
      <w:tr w:rsidR="00C40494" w:rsidRPr="007337C6" w14:paraId="44EFD359" w14:textId="77777777" w:rsidTr="00B2600C">
        <w:trPr>
          <w:trHeight w:val="269"/>
        </w:trPr>
        <w:tc>
          <w:tcPr>
            <w:tcW w:w="2687" w:type="dxa"/>
            <w:gridSpan w:val="2"/>
            <w:tcBorders>
              <w:top w:val="nil"/>
              <w:left w:val="nil"/>
              <w:bottom w:val="nil"/>
              <w:right w:val="nil"/>
            </w:tcBorders>
            <w:shd w:val="clear" w:color="000000" w:fill="44546A"/>
            <w:noWrap/>
            <w:vAlign w:val="bottom"/>
            <w:hideMark/>
          </w:tcPr>
          <w:p w14:paraId="67E79327" w14:textId="3E6C0EBC" w:rsidR="00C40494" w:rsidRPr="007337C6" w:rsidRDefault="00C40494" w:rsidP="00B2600C">
            <w:pPr>
              <w:spacing w:after="0" w:line="240" w:lineRule="auto"/>
              <w:rPr>
                <w:rFonts w:ascii="Trebuchet MS" w:eastAsia="Times New Roman" w:hAnsi="Trebuchet MS" w:cs="Times New Roman"/>
                <w:b/>
                <w:bCs/>
                <w:color w:val="FFFFFF"/>
                <w:sz w:val="20"/>
                <w:szCs w:val="20"/>
                <w:lang w:eastAsia="en-GB"/>
              </w:rPr>
            </w:pPr>
            <w:r w:rsidRPr="007337C6">
              <w:rPr>
                <w:rFonts w:ascii="Trebuchet MS" w:eastAsia="Times New Roman" w:hAnsi="Trebuchet MS" w:cs="Times New Roman"/>
                <w:b/>
                <w:bCs/>
                <w:color w:val="FFFFFF"/>
                <w:sz w:val="20"/>
                <w:szCs w:val="20"/>
                <w:lang w:eastAsia="en-GB"/>
              </w:rPr>
              <w:t xml:space="preserve">4Q 19 With </w:t>
            </w:r>
            <w:r w:rsidR="005E55C1">
              <w:rPr>
                <w:rFonts w:ascii="Trebuchet MS" w:eastAsia="Times New Roman" w:hAnsi="Trebuchet MS" w:cs="Times New Roman"/>
                <w:b/>
                <w:bCs/>
                <w:color w:val="FFFFFF"/>
                <w:sz w:val="20"/>
                <w:szCs w:val="20"/>
                <w:lang w:eastAsia="en-GB"/>
              </w:rPr>
              <w:t>COVID-19</w:t>
            </w:r>
          </w:p>
        </w:tc>
        <w:tc>
          <w:tcPr>
            <w:tcW w:w="1088" w:type="dxa"/>
            <w:tcBorders>
              <w:top w:val="nil"/>
              <w:left w:val="nil"/>
              <w:bottom w:val="nil"/>
              <w:right w:val="nil"/>
            </w:tcBorders>
            <w:shd w:val="clear" w:color="000000" w:fill="44546A"/>
            <w:noWrap/>
            <w:vAlign w:val="bottom"/>
            <w:hideMark/>
          </w:tcPr>
          <w:p w14:paraId="3A0523B9" w14:textId="77777777" w:rsidR="00C40494" w:rsidRPr="007337C6" w:rsidRDefault="00C40494" w:rsidP="00B2600C">
            <w:pPr>
              <w:spacing w:after="0" w:line="240" w:lineRule="auto"/>
              <w:rPr>
                <w:rFonts w:ascii="Trebuchet MS" w:eastAsia="Times New Roman" w:hAnsi="Trebuchet MS" w:cs="Times New Roman"/>
                <w:color w:val="FFFFFF"/>
                <w:sz w:val="20"/>
                <w:szCs w:val="20"/>
                <w:lang w:eastAsia="en-GB"/>
              </w:rPr>
            </w:pPr>
            <w:r w:rsidRPr="007337C6">
              <w:rPr>
                <w:rFonts w:ascii="Trebuchet MS" w:eastAsia="Times New Roman" w:hAnsi="Trebuchet MS" w:cs="Times New Roman"/>
                <w:color w:val="FFFFFF"/>
                <w:sz w:val="20"/>
                <w:szCs w:val="20"/>
                <w:lang w:eastAsia="en-GB"/>
              </w:rPr>
              <w:t> </w:t>
            </w:r>
          </w:p>
        </w:tc>
        <w:tc>
          <w:tcPr>
            <w:tcW w:w="222" w:type="dxa"/>
            <w:tcBorders>
              <w:top w:val="nil"/>
              <w:left w:val="nil"/>
              <w:bottom w:val="nil"/>
              <w:right w:val="nil"/>
            </w:tcBorders>
            <w:shd w:val="clear" w:color="auto" w:fill="auto"/>
            <w:noWrap/>
            <w:vAlign w:val="bottom"/>
            <w:hideMark/>
          </w:tcPr>
          <w:p w14:paraId="723840E7" w14:textId="77777777" w:rsidR="00C40494" w:rsidRPr="007337C6" w:rsidRDefault="00C40494" w:rsidP="00B2600C">
            <w:pPr>
              <w:spacing w:after="0" w:line="240" w:lineRule="auto"/>
              <w:rPr>
                <w:rFonts w:ascii="Trebuchet MS" w:eastAsia="Times New Roman" w:hAnsi="Trebuchet MS" w:cs="Times New Roman"/>
                <w:color w:val="FFFFFF"/>
                <w:sz w:val="20"/>
                <w:szCs w:val="20"/>
                <w:lang w:eastAsia="en-GB"/>
              </w:rPr>
            </w:pPr>
          </w:p>
        </w:tc>
        <w:tc>
          <w:tcPr>
            <w:tcW w:w="3146" w:type="dxa"/>
            <w:gridSpan w:val="3"/>
            <w:tcBorders>
              <w:top w:val="nil"/>
              <w:left w:val="nil"/>
              <w:bottom w:val="nil"/>
              <w:right w:val="nil"/>
            </w:tcBorders>
            <w:shd w:val="clear" w:color="000000" w:fill="44546A"/>
            <w:noWrap/>
            <w:vAlign w:val="bottom"/>
            <w:hideMark/>
          </w:tcPr>
          <w:p w14:paraId="731ECFCE" w14:textId="527E10E5" w:rsidR="00C40494" w:rsidRPr="007337C6" w:rsidRDefault="00C40494" w:rsidP="00B2600C">
            <w:pPr>
              <w:spacing w:after="0" w:line="240" w:lineRule="auto"/>
              <w:rPr>
                <w:rFonts w:ascii="Trebuchet MS" w:eastAsia="Times New Roman" w:hAnsi="Trebuchet MS" w:cs="Times New Roman"/>
                <w:b/>
                <w:bCs/>
                <w:color w:val="FFFFFF"/>
                <w:sz w:val="20"/>
                <w:szCs w:val="20"/>
                <w:lang w:eastAsia="en-GB"/>
              </w:rPr>
            </w:pPr>
            <w:r w:rsidRPr="007337C6">
              <w:rPr>
                <w:rFonts w:ascii="Trebuchet MS" w:eastAsia="Times New Roman" w:hAnsi="Trebuchet MS" w:cs="Times New Roman"/>
                <w:b/>
                <w:bCs/>
                <w:color w:val="FFFFFF"/>
                <w:sz w:val="20"/>
                <w:szCs w:val="20"/>
                <w:lang w:eastAsia="en-GB"/>
              </w:rPr>
              <w:t xml:space="preserve">4Q 19 With </w:t>
            </w:r>
            <w:r w:rsidR="005E55C1">
              <w:rPr>
                <w:rFonts w:ascii="Trebuchet MS" w:eastAsia="Times New Roman" w:hAnsi="Trebuchet MS" w:cs="Times New Roman"/>
                <w:b/>
                <w:bCs/>
                <w:color w:val="FFFFFF"/>
                <w:sz w:val="20"/>
                <w:szCs w:val="20"/>
                <w:lang w:eastAsia="en-GB"/>
              </w:rPr>
              <w:t>COVID-19</w:t>
            </w:r>
          </w:p>
        </w:tc>
        <w:tc>
          <w:tcPr>
            <w:tcW w:w="222" w:type="dxa"/>
            <w:tcBorders>
              <w:top w:val="nil"/>
              <w:left w:val="nil"/>
              <w:bottom w:val="nil"/>
              <w:right w:val="nil"/>
            </w:tcBorders>
            <w:shd w:val="clear" w:color="auto" w:fill="auto"/>
            <w:noWrap/>
            <w:vAlign w:val="bottom"/>
            <w:hideMark/>
          </w:tcPr>
          <w:p w14:paraId="001715A4" w14:textId="77777777" w:rsidR="00C40494" w:rsidRPr="007337C6" w:rsidRDefault="00C40494" w:rsidP="00B2600C">
            <w:pPr>
              <w:spacing w:after="0" w:line="240" w:lineRule="auto"/>
              <w:rPr>
                <w:rFonts w:ascii="Trebuchet MS" w:eastAsia="Times New Roman" w:hAnsi="Trebuchet MS" w:cs="Times New Roman"/>
                <w:color w:val="FFFFFF"/>
                <w:sz w:val="20"/>
                <w:szCs w:val="20"/>
                <w:lang w:eastAsia="en-GB"/>
              </w:rPr>
            </w:pPr>
          </w:p>
        </w:tc>
        <w:tc>
          <w:tcPr>
            <w:tcW w:w="3101" w:type="dxa"/>
            <w:gridSpan w:val="3"/>
            <w:tcBorders>
              <w:top w:val="nil"/>
              <w:left w:val="nil"/>
              <w:bottom w:val="nil"/>
              <w:right w:val="nil"/>
            </w:tcBorders>
            <w:shd w:val="clear" w:color="000000" w:fill="44546A"/>
            <w:noWrap/>
            <w:vAlign w:val="bottom"/>
            <w:hideMark/>
          </w:tcPr>
          <w:p w14:paraId="10A5D52D" w14:textId="495B0FC9" w:rsidR="00C40494" w:rsidRPr="007337C6" w:rsidRDefault="00C40494" w:rsidP="00B2600C">
            <w:pPr>
              <w:spacing w:after="0" w:line="240" w:lineRule="auto"/>
              <w:rPr>
                <w:rFonts w:ascii="Trebuchet MS" w:eastAsia="Times New Roman" w:hAnsi="Trebuchet MS" w:cs="Times New Roman"/>
                <w:b/>
                <w:bCs/>
                <w:color w:val="FFFFFF"/>
                <w:sz w:val="20"/>
                <w:szCs w:val="20"/>
                <w:lang w:eastAsia="en-GB"/>
              </w:rPr>
            </w:pPr>
            <w:r w:rsidRPr="007337C6">
              <w:rPr>
                <w:rFonts w:ascii="Trebuchet MS" w:eastAsia="Times New Roman" w:hAnsi="Trebuchet MS" w:cs="Times New Roman"/>
                <w:b/>
                <w:bCs/>
                <w:color w:val="FFFFFF"/>
                <w:sz w:val="20"/>
                <w:szCs w:val="20"/>
                <w:lang w:eastAsia="en-GB"/>
              </w:rPr>
              <w:t xml:space="preserve">4Q 19 With </w:t>
            </w:r>
            <w:r w:rsidR="005E55C1">
              <w:rPr>
                <w:rFonts w:ascii="Trebuchet MS" w:eastAsia="Times New Roman" w:hAnsi="Trebuchet MS" w:cs="Times New Roman"/>
                <w:b/>
                <w:bCs/>
                <w:color w:val="FFFFFF"/>
                <w:sz w:val="20"/>
                <w:szCs w:val="20"/>
                <w:lang w:eastAsia="en-GB"/>
              </w:rPr>
              <w:t>COVID-19</w:t>
            </w:r>
          </w:p>
        </w:tc>
      </w:tr>
      <w:tr w:rsidR="00C40494" w:rsidRPr="007337C6" w14:paraId="17E71069" w14:textId="77777777" w:rsidTr="00B2600C">
        <w:trPr>
          <w:trHeight w:val="479"/>
        </w:trPr>
        <w:tc>
          <w:tcPr>
            <w:tcW w:w="921" w:type="dxa"/>
            <w:tcBorders>
              <w:top w:val="nil"/>
              <w:left w:val="nil"/>
              <w:bottom w:val="nil"/>
              <w:right w:val="nil"/>
            </w:tcBorders>
            <w:shd w:val="clear" w:color="auto" w:fill="auto"/>
            <w:noWrap/>
            <w:vAlign w:val="center"/>
            <w:hideMark/>
          </w:tcPr>
          <w:p w14:paraId="3F8BE713" w14:textId="77777777" w:rsidR="00C40494" w:rsidRPr="007337C6" w:rsidRDefault="00C40494" w:rsidP="00B2600C">
            <w:pPr>
              <w:spacing w:after="0" w:line="240" w:lineRule="auto"/>
              <w:rPr>
                <w:rFonts w:ascii="Trebuchet MS" w:eastAsia="Times New Roman" w:hAnsi="Trebuchet MS" w:cs="Times New Roman"/>
                <w:b/>
                <w:bCs/>
                <w:color w:val="000000"/>
                <w:sz w:val="24"/>
                <w:szCs w:val="24"/>
                <w:lang w:eastAsia="en-GB"/>
              </w:rPr>
            </w:pPr>
            <w:r w:rsidRPr="007337C6">
              <w:rPr>
                <w:rFonts w:ascii="Trebuchet MS" w:eastAsia="Times New Roman" w:hAnsi="Trebuchet MS" w:cs="Times New Roman"/>
                <w:b/>
                <w:bCs/>
                <w:color w:val="000000"/>
                <w:sz w:val="24"/>
                <w:szCs w:val="24"/>
                <w:lang w:eastAsia="en-GB"/>
              </w:rPr>
              <w:t>AGIL</w:t>
            </w:r>
          </w:p>
        </w:tc>
        <w:tc>
          <w:tcPr>
            <w:tcW w:w="1766" w:type="dxa"/>
            <w:tcBorders>
              <w:top w:val="single" w:sz="8" w:space="0" w:color="0070C0"/>
              <w:left w:val="nil"/>
              <w:bottom w:val="nil"/>
              <w:right w:val="nil"/>
            </w:tcBorders>
            <w:shd w:val="clear" w:color="auto" w:fill="auto"/>
            <w:noWrap/>
            <w:vAlign w:val="center"/>
            <w:hideMark/>
          </w:tcPr>
          <w:p w14:paraId="752CA12F" w14:textId="77777777" w:rsidR="00C40494" w:rsidRPr="007337C6" w:rsidRDefault="00C40494" w:rsidP="00B2600C">
            <w:pPr>
              <w:spacing w:after="0" w:line="240" w:lineRule="auto"/>
              <w:jc w:val="right"/>
              <w:rPr>
                <w:rFonts w:ascii="Trebuchet MS" w:eastAsia="Times New Roman" w:hAnsi="Trebuchet MS" w:cs="Times New Roman"/>
                <w:color w:val="0070C0"/>
                <w:sz w:val="18"/>
                <w:szCs w:val="18"/>
                <w:lang w:eastAsia="en-GB"/>
              </w:rPr>
            </w:pPr>
            <w:r w:rsidRPr="007337C6">
              <w:rPr>
                <w:rFonts w:ascii="Trebuchet MS" w:eastAsia="Times New Roman" w:hAnsi="Trebuchet MS" w:cs="Times New Roman"/>
                <w:color w:val="0070C0"/>
                <w:sz w:val="18"/>
                <w:szCs w:val="18"/>
                <w:lang w:eastAsia="en-GB"/>
              </w:rPr>
              <w:t xml:space="preserve">Before </w:t>
            </w:r>
          </w:p>
          <w:p w14:paraId="4C308DBF" w14:textId="77777777" w:rsidR="00C40494" w:rsidRPr="007337C6" w:rsidRDefault="00C40494" w:rsidP="00B2600C">
            <w:pPr>
              <w:spacing w:after="0" w:line="240" w:lineRule="auto"/>
              <w:jc w:val="right"/>
              <w:rPr>
                <w:rFonts w:ascii="Trebuchet MS" w:eastAsia="Times New Roman" w:hAnsi="Trebuchet MS" w:cs="Times New Roman"/>
                <w:color w:val="0070C0"/>
                <w:sz w:val="18"/>
                <w:szCs w:val="18"/>
                <w:lang w:eastAsia="en-GB"/>
              </w:rPr>
            </w:pPr>
            <w:r w:rsidRPr="007337C6">
              <w:rPr>
                <w:rFonts w:ascii="Trebuchet MS" w:eastAsia="Times New Roman" w:hAnsi="Trebuchet MS" w:cs="Times New Roman"/>
                <w:color w:val="0070C0"/>
                <w:sz w:val="18"/>
                <w:szCs w:val="18"/>
                <w:lang w:eastAsia="en-GB"/>
              </w:rPr>
              <w:t>Transfer</w:t>
            </w:r>
          </w:p>
        </w:tc>
        <w:tc>
          <w:tcPr>
            <w:tcW w:w="1088" w:type="dxa"/>
            <w:tcBorders>
              <w:top w:val="single" w:sz="8" w:space="0" w:color="0070C0"/>
              <w:left w:val="nil"/>
              <w:bottom w:val="nil"/>
              <w:right w:val="nil"/>
            </w:tcBorders>
            <w:shd w:val="clear" w:color="auto" w:fill="auto"/>
            <w:noWrap/>
            <w:vAlign w:val="center"/>
            <w:hideMark/>
          </w:tcPr>
          <w:p w14:paraId="7DBAB405" w14:textId="77777777" w:rsidR="00C40494" w:rsidRPr="007337C6" w:rsidRDefault="00C40494" w:rsidP="00B2600C">
            <w:pPr>
              <w:spacing w:after="0" w:line="240" w:lineRule="auto"/>
              <w:jc w:val="right"/>
              <w:rPr>
                <w:rFonts w:ascii="Trebuchet MS" w:eastAsia="Times New Roman" w:hAnsi="Trebuchet MS" w:cs="Times New Roman"/>
                <w:color w:val="0070C0"/>
                <w:sz w:val="18"/>
                <w:szCs w:val="18"/>
                <w:lang w:eastAsia="en-GB"/>
              </w:rPr>
            </w:pPr>
            <w:r w:rsidRPr="007337C6">
              <w:rPr>
                <w:rFonts w:ascii="Trebuchet MS" w:eastAsia="Times New Roman" w:hAnsi="Trebuchet MS" w:cs="Times New Roman"/>
                <w:color w:val="0070C0"/>
                <w:sz w:val="18"/>
                <w:szCs w:val="18"/>
                <w:lang w:eastAsia="en-GB"/>
              </w:rPr>
              <w:t>After Transfer</w:t>
            </w:r>
          </w:p>
        </w:tc>
        <w:tc>
          <w:tcPr>
            <w:tcW w:w="222" w:type="dxa"/>
            <w:tcBorders>
              <w:top w:val="nil"/>
              <w:left w:val="nil"/>
              <w:bottom w:val="nil"/>
              <w:right w:val="nil"/>
            </w:tcBorders>
            <w:shd w:val="clear" w:color="auto" w:fill="auto"/>
            <w:noWrap/>
            <w:vAlign w:val="bottom"/>
            <w:hideMark/>
          </w:tcPr>
          <w:p w14:paraId="7E9929A3" w14:textId="77777777" w:rsidR="00C40494" w:rsidRPr="007337C6" w:rsidRDefault="00C40494" w:rsidP="00B2600C">
            <w:pPr>
              <w:spacing w:after="0" w:line="240" w:lineRule="auto"/>
              <w:rPr>
                <w:rFonts w:ascii="Trebuchet MS" w:eastAsia="Times New Roman" w:hAnsi="Trebuchet MS" w:cs="Times New Roman"/>
                <w:color w:val="0070C0"/>
                <w:sz w:val="18"/>
                <w:szCs w:val="18"/>
                <w:lang w:eastAsia="en-GB"/>
              </w:rPr>
            </w:pPr>
          </w:p>
        </w:tc>
        <w:tc>
          <w:tcPr>
            <w:tcW w:w="816" w:type="dxa"/>
            <w:tcBorders>
              <w:top w:val="nil"/>
              <w:left w:val="nil"/>
              <w:bottom w:val="nil"/>
              <w:right w:val="nil"/>
            </w:tcBorders>
            <w:shd w:val="clear" w:color="auto" w:fill="auto"/>
            <w:noWrap/>
            <w:vAlign w:val="center"/>
            <w:hideMark/>
          </w:tcPr>
          <w:p w14:paraId="54DF3BF0" w14:textId="77777777" w:rsidR="00C40494" w:rsidRPr="007337C6" w:rsidRDefault="00C40494" w:rsidP="00B2600C">
            <w:pPr>
              <w:spacing w:after="0" w:line="240" w:lineRule="auto"/>
              <w:rPr>
                <w:rFonts w:ascii="Trebuchet MS" w:eastAsia="Times New Roman" w:hAnsi="Trebuchet MS" w:cs="Times New Roman"/>
                <w:b/>
                <w:bCs/>
                <w:color w:val="000000"/>
                <w:sz w:val="24"/>
                <w:szCs w:val="24"/>
                <w:lang w:eastAsia="en-GB"/>
              </w:rPr>
            </w:pPr>
            <w:r w:rsidRPr="007337C6">
              <w:rPr>
                <w:rFonts w:ascii="Trebuchet MS" w:eastAsia="Times New Roman" w:hAnsi="Trebuchet MS" w:cs="Times New Roman"/>
                <w:b/>
                <w:bCs/>
                <w:color w:val="000000"/>
                <w:sz w:val="24"/>
                <w:szCs w:val="24"/>
                <w:lang w:eastAsia="en-GB"/>
              </w:rPr>
              <w:t>LGI</w:t>
            </w:r>
          </w:p>
        </w:tc>
        <w:tc>
          <w:tcPr>
            <w:tcW w:w="1242" w:type="dxa"/>
            <w:tcBorders>
              <w:top w:val="single" w:sz="8" w:space="0" w:color="0070C0"/>
              <w:left w:val="nil"/>
              <w:bottom w:val="nil"/>
              <w:right w:val="nil"/>
            </w:tcBorders>
            <w:shd w:val="clear" w:color="auto" w:fill="auto"/>
            <w:noWrap/>
            <w:vAlign w:val="center"/>
            <w:hideMark/>
          </w:tcPr>
          <w:p w14:paraId="130B4B6B" w14:textId="77777777" w:rsidR="00C40494" w:rsidRPr="007337C6" w:rsidRDefault="00C40494" w:rsidP="00B2600C">
            <w:pPr>
              <w:spacing w:after="0" w:line="240" w:lineRule="auto"/>
              <w:jc w:val="right"/>
              <w:rPr>
                <w:rFonts w:ascii="Trebuchet MS" w:eastAsia="Times New Roman" w:hAnsi="Trebuchet MS" w:cs="Times New Roman"/>
                <w:color w:val="0070C0"/>
                <w:sz w:val="18"/>
                <w:szCs w:val="18"/>
                <w:lang w:eastAsia="en-GB"/>
              </w:rPr>
            </w:pPr>
            <w:r w:rsidRPr="007337C6">
              <w:rPr>
                <w:rFonts w:ascii="Trebuchet MS" w:eastAsia="Times New Roman" w:hAnsi="Trebuchet MS" w:cs="Times New Roman"/>
                <w:color w:val="0070C0"/>
                <w:sz w:val="18"/>
                <w:szCs w:val="18"/>
                <w:lang w:eastAsia="en-GB"/>
              </w:rPr>
              <w:t>Before Transfer</w:t>
            </w:r>
          </w:p>
        </w:tc>
        <w:tc>
          <w:tcPr>
            <w:tcW w:w="1088" w:type="dxa"/>
            <w:tcBorders>
              <w:top w:val="single" w:sz="8" w:space="0" w:color="0070C0"/>
              <w:left w:val="nil"/>
              <w:bottom w:val="nil"/>
              <w:right w:val="nil"/>
            </w:tcBorders>
            <w:shd w:val="clear" w:color="auto" w:fill="auto"/>
            <w:noWrap/>
            <w:vAlign w:val="center"/>
            <w:hideMark/>
          </w:tcPr>
          <w:p w14:paraId="33590A8F" w14:textId="77777777" w:rsidR="00C40494" w:rsidRPr="007337C6" w:rsidRDefault="00C40494" w:rsidP="00B2600C">
            <w:pPr>
              <w:spacing w:after="0" w:line="240" w:lineRule="auto"/>
              <w:jc w:val="right"/>
              <w:rPr>
                <w:rFonts w:ascii="Trebuchet MS" w:eastAsia="Times New Roman" w:hAnsi="Trebuchet MS" w:cs="Times New Roman"/>
                <w:color w:val="0070C0"/>
                <w:sz w:val="18"/>
                <w:szCs w:val="18"/>
                <w:lang w:eastAsia="en-GB"/>
              </w:rPr>
            </w:pPr>
            <w:r w:rsidRPr="007337C6">
              <w:rPr>
                <w:rFonts w:ascii="Trebuchet MS" w:eastAsia="Times New Roman" w:hAnsi="Trebuchet MS" w:cs="Times New Roman"/>
                <w:color w:val="0070C0"/>
                <w:sz w:val="18"/>
                <w:szCs w:val="18"/>
                <w:lang w:eastAsia="en-GB"/>
              </w:rPr>
              <w:t>After Transfer</w:t>
            </w:r>
          </w:p>
        </w:tc>
        <w:tc>
          <w:tcPr>
            <w:tcW w:w="222" w:type="dxa"/>
            <w:tcBorders>
              <w:top w:val="nil"/>
              <w:left w:val="nil"/>
              <w:bottom w:val="nil"/>
              <w:right w:val="nil"/>
            </w:tcBorders>
            <w:shd w:val="clear" w:color="auto" w:fill="auto"/>
            <w:noWrap/>
            <w:vAlign w:val="bottom"/>
            <w:hideMark/>
          </w:tcPr>
          <w:p w14:paraId="79F6DCBF" w14:textId="77777777" w:rsidR="00C40494" w:rsidRPr="007337C6" w:rsidRDefault="00C40494" w:rsidP="00B2600C">
            <w:pPr>
              <w:spacing w:after="0" w:line="240" w:lineRule="auto"/>
              <w:rPr>
                <w:rFonts w:ascii="Trebuchet MS" w:eastAsia="Times New Roman" w:hAnsi="Trebuchet MS" w:cs="Times New Roman"/>
                <w:color w:val="0070C0"/>
                <w:sz w:val="18"/>
                <w:szCs w:val="18"/>
                <w:lang w:eastAsia="en-GB"/>
              </w:rPr>
            </w:pPr>
          </w:p>
        </w:tc>
        <w:tc>
          <w:tcPr>
            <w:tcW w:w="712" w:type="dxa"/>
            <w:tcBorders>
              <w:top w:val="nil"/>
              <w:left w:val="nil"/>
              <w:bottom w:val="nil"/>
              <w:right w:val="nil"/>
            </w:tcBorders>
            <w:shd w:val="clear" w:color="auto" w:fill="auto"/>
            <w:noWrap/>
            <w:vAlign w:val="center"/>
            <w:hideMark/>
          </w:tcPr>
          <w:p w14:paraId="0E7F9290" w14:textId="77777777" w:rsidR="00C40494" w:rsidRPr="007337C6" w:rsidRDefault="00C40494" w:rsidP="00B2600C">
            <w:pPr>
              <w:spacing w:after="0" w:line="240" w:lineRule="auto"/>
              <w:rPr>
                <w:rFonts w:ascii="Trebuchet MS" w:eastAsia="Times New Roman" w:hAnsi="Trebuchet MS" w:cs="Times New Roman"/>
                <w:b/>
                <w:bCs/>
                <w:color w:val="000000"/>
                <w:sz w:val="24"/>
                <w:szCs w:val="24"/>
                <w:lang w:eastAsia="en-GB"/>
              </w:rPr>
            </w:pPr>
            <w:r w:rsidRPr="007337C6">
              <w:rPr>
                <w:rFonts w:ascii="Trebuchet MS" w:eastAsia="Times New Roman" w:hAnsi="Trebuchet MS" w:cs="Times New Roman"/>
                <w:b/>
                <w:bCs/>
                <w:color w:val="000000"/>
                <w:sz w:val="24"/>
                <w:szCs w:val="24"/>
                <w:lang w:eastAsia="en-GB"/>
              </w:rPr>
              <w:t>AEI</w:t>
            </w:r>
          </w:p>
        </w:tc>
        <w:tc>
          <w:tcPr>
            <w:tcW w:w="1301" w:type="dxa"/>
            <w:tcBorders>
              <w:top w:val="single" w:sz="8" w:space="0" w:color="0070C0"/>
              <w:left w:val="nil"/>
              <w:bottom w:val="nil"/>
              <w:right w:val="nil"/>
            </w:tcBorders>
            <w:shd w:val="clear" w:color="auto" w:fill="auto"/>
            <w:noWrap/>
            <w:vAlign w:val="center"/>
            <w:hideMark/>
          </w:tcPr>
          <w:p w14:paraId="4F264580" w14:textId="77777777" w:rsidR="00C40494" w:rsidRPr="007337C6" w:rsidRDefault="00C40494" w:rsidP="00B2600C">
            <w:pPr>
              <w:spacing w:after="0" w:line="240" w:lineRule="auto"/>
              <w:jc w:val="right"/>
              <w:rPr>
                <w:rFonts w:ascii="Trebuchet MS" w:eastAsia="Times New Roman" w:hAnsi="Trebuchet MS" w:cs="Times New Roman"/>
                <w:color w:val="0070C0"/>
                <w:sz w:val="18"/>
                <w:szCs w:val="18"/>
                <w:lang w:eastAsia="en-GB"/>
              </w:rPr>
            </w:pPr>
            <w:r w:rsidRPr="007337C6">
              <w:rPr>
                <w:rFonts w:ascii="Trebuchet MS" w:eastAsia="Times New Roman" w:hAnsi="Trebuchet MS" w:cs="Times New Roman"/>
                <w:color w:val="0070C0"/>
                <w:sz w:val="18"/>
                <w:szCs w:val="18"/>
                <w:lang w:eastAsia="en-GB"/>
              </w:rPr>
              <w:t>Before Transfer</w:t>
            </w:r>
          </w:p>
        </w:tc>
        <w:tc>
          <w:tcPr>
            <w:tcW w:w="1088" w:type="dxa"/>
            <w:tcBorders>
              <w:top w:val="single" w:sz="8" w:space="0" w:color="0070C0"/>
              <w:left w:val="nil"/>
              <w:bottom w:val="nil"/>
              <w:right w:val="nil"/>
            </w:tcBorders>
            <w:shd w:val="clear" w:color="auto" w:fill="auto"/>
            <w:noWrap/>
            <w:vAlign w:val="center"/>
            <w:hideMark/>
          </w:tcPr>
          <w:p w14:paraId="0A451945" w14:textId="77777777" w:rsidR="00C40494" w:rsidRPr="007337C6" w:rsidRDefault="00C40494" w:rsidP="00B2600C">
            <w:pPr>
              <w:spacing w:after="0" w:line="240" w:lineRule="auto"/>
              <w:jc w:val="right"/>
              <w:rPr>
                <w:rFonts w:ascii="Trebuchet MS" w:eastAsia="Times New Roman" w:hAnsi="Trebuchet MS" w:cs="Times New Roman"/>
                <w:color w:val="0070C0"/>
                <w:sz w:val="18"/>
                <w:szCs w:val="18"/>
                <w:lang w:eastAsia="en-GB"/>
              </w:rPr>
            </w:pPr>
            <w:r w:rsidRPr="007337C6">
              <w:rPr>
                <w:rFonts w:ascii="Trebuchet MS" w:eastAsia="Times New Roman" w:hAnsi="Trebuchet MS" w:cs="Times New Roman"/>
                <w:color w:val="0070C0"/>
                <w:sz w:val="18"/>
                <w:szCs w:val="18"/>
                <w:lang w:eastAsia="en-GB"/>
              </w:rPr>
              <w:t>After Transfer</w:t>
            </w:r>
          </w:p>
        </w:tc>
      </w:tr>
      <w:tr w:rsidR="00C40494" w:rsidRPr="007337C6" w14:paraId="1600CEAE" w14:textId="77777777" w:rsidTr="00B2600C">
        <w:trPr>
          <w:trHeight w:val="119"/>
        </w:trPr>
        <w:tc>
          <w:tcPr>
            <w:tcW w:w="921" w:type="dxa"/>
            <w:tcBorders>
              <w:top w:val="nil"/>
              <w:left w:val="nil"/>
              <w:bottom w:val="single" w:sz="8" w:space="0" w:color="0070C0"/>
              <w:right w:val="nil"/>
            </w:tcBorders>
            <w:shd w:val="clear" w:color="auto" w:fill="auto"/>
            <w:noWrap/>
            <w:vAlign w:val="center"/>
            <w:hideMark/>
          </w:tcPr>
          <w:p w14:paraId="166D434B" w14:textId="77777777" w:rsidR="00C40494" w:rsidRPr="007337C6" w:rsidRDefault="00C40494" w:rsidP="00B2600C">
            <w:pPr>
              <w:spacing w:after="0" w:line="240" w:lineRule="auto"/>
              <w:rPr>
                <w:rFonts w:ascii="Trebuchet MS" w:eastAsia="Times New Roman" w:hAnsi="Trebuchet MS" w:cs="Times New Roman"/>
                <w:color w:val="000000"/>
                <w:sz w:val="18"/>
                <w:szCs w:val="18"/>
                <w:lang w:eastAsia="en-GB"/>
              </w:rPr>
            </w:pPr>
            <w:r w:rsidRPr="007337C6">
              <w:rPr>
                <w:rFonts w:ascii="Trebuchet MS" w:eastAsia="Times New Roman" w:hAnsi="Trebuchet MS" w:cs="Times New Roman"/>
                <w:color w:val="000000"/>
                <w:sz w:val="18"/>
                <w:szCs w:val="18"/>
                <w:lang w:eastAsia="en-GB"/>
              </w:rPr>
              <w:t> </w:t>
            </w:r>
          </w:p>
        </w:tc>
        <w:tc>
          <w:tcPr>
            <w:tcW w:w="1766" w:type="dxa"/>
            <w:tcBorders>
              <w:top w:val="nil"/>
              <w:left w:val="nil"/>
              <w:bottom w:val="single" w:sz="8" w:space="0" w:color="0070C0"/>
              <w:right w:val="nil"/>
            </w:tcBorders>
            <w:shd w:val="clear" w:color="auto" w:fill="auto"/>
            <w:noWrap/>
            <w:vAlign w:val="center"/>
            <w:hideMark/>
          </w:tcPr>
          <w:p w14:paraId="78BB6218" w14:textId="77777777" w:rsidR="00C40494" w:rsidRPr="007337C6" w:rsidRDefault="00C40494" w:rsidP="00B2600C">
            <w:pPr>
              <w:spacing w:after="0" w:line="240" w:lineRule="auto"/>
              <w:rPr>
                <w:rFonts w:ascii="Trebuchet MS" w:eastAsia="Times New Roman" w:hAnsi="Trebuchet MS" w:cs="Times New Roman"/>
                <w:color w:val="000000"/>
                <w:sz w:val="18"/>
                <w:szCs w:val="18"/>
                <w:lang w:eastAsia="en-GB"/>
              </w:rPr>
            </w:pPr>
            <w:r w:rsidRPr="007337C6">
              <w:rPr>
                <w:rFonts w:ascii="Trebuchet MS" w:eastAsia="Times New Roman" w:hAnsi="Trebuchet MS" w:cs="Times New Roman"/>
                <w:color w:val="000000"/>
                <w:sz w:val="18"/>
                <w:szCs w:val="18"/>
                <w:lang w:eastAsia="en-GB"/>
              </w:rPr>
              <w:t> </w:t>
            </w:r>
          </w:p>
        </w:tc>
        <w:tc>
          <w:tcPr>
            <w:tcW w:w="1088" w:type="dxa"/>
            <w:tcBorders>
              <w:top w:val="nil"/>
              <w:left w:val="nil"/>
              <w:bottom w:val="single" w:sz="8" w:space="0" w:color="0070C0"/>
              <w:right w:val="nil"/>
            </w:tcBorders>
            <w:shd w:val="clear" w:color="auto" w:fill="auto"/>
            <w:noWrap/>
            <w:vAlign w:val="center"/>
            <w:hideMark/>
          </w:tcPr>
          <w:p w14:paraId="47AF285B" w14:textId="77777777" w:rsidR="00C40494" w:rsidRPr="007337C6" w:rsidRDefault="00C40494" w:rsidP="00B2600C">
            <w:pPr>
              <w:spacing w:after="0" w:line="240" w:lineRule="auto"/>
              <w:rPr>
                <w:rFonts w:ascii="Trebuchet MS" w:eastAsia="Times New Roman" w:hAnsi="Trebuchet MS" w:cs="Times New Roman"/>
                <w:color w:val="000000"/>
                <w:sz w:val="18"/>
                <w:szCs w:val="18"/>
                <w:lang w:eastAsia="en-GB"/>
              </w:rPr>
            </w:pPr>
            <w:r w:rsidRPr="007337C6">
              <w:rPr>
                <w:rFonts w:ascii="Trebuchet MS" w:eastAsia="Times New Roman" w:hAnsi="Trebuchet MS" w:cs="Times New Roman"/>
                <w:color w:val="000000"/>
                <w:sz w:val="18"/>
                <w:szCs w:val="18"/>
                <w:lang w:eastAsia="en-GB"/>
              </w:rPr>
              <w:t> </w:t>
            </w:r>
          </w:p>
        </w:tc>
        <w:tc>
          <w:tcPr>
            <w:tcW w:w="222" w:type="dxa"/>
            <w:tcBorders>
              <w:top w:val="nil"/>
              <w:left w:val="nil"/>
              <w:bottom w:val="nil"/>
              <w:right w:val="nil"/>
            </w:tcBorders>
            <w:shd w:val="clear" w:color="auto" w:fill="auto"/>
            <w:noWrap/>
            <w:vAlign w:val="bottom"/>
            <w:hideMark/>
          </w:tcPr>
          <w:p w14:paraId="25AC0BCB" w14:textId="77777777" w:rsidR="00C40494" w:rsidRPr="007337C6" w:rsidRDefault="00C40494" w:rsidP="00B2600C">
            <w:pPr>
              <w:spacing w:after="0" w:line="240" w:lineRule="auto"/>
              <w:rPr>
                <w:rFonts w:ascii="Trebuchet MS" w:eastAsia="Times New Roman" w:hAnsi="Trebuchet MS" w:cs="Times New Roman"/>
                <w:color w:val="000000"/>
                <w:sz w:val="18"/>
                <w:szCs w:val="18"/>
                <w:lang w:eastAsia="en-GB"/>
              </w:rPr>
            </w:pPr>
          </w:p>
        </w:tc>
        <w:tc>
          <w:tcPr>
            <w:tcW w:w="816" w:type="dxa"/>
            <w:tcBorders>
              <w:top w:val="nil"/>
              <w:left w:val="nil"/>
              <w:bottom w:val="single" w:sz="8" w:space="0" w:color="0070C0"/>
              <w:right w:val="nil"/>
            </w:tcBorders>
            <w:shd w:val="clear" w:color="auto" w:fill="auto"/>
            <w:noWrap/>
            <w:vAlign w:val="center"/>
            <w:hideMark/>
          </w:tcPr>
          <w:p w14:paraId="544D3154" w14:textId="77777777" w:rsidR="00C40494" w:rsidRPr="007337C6" w:rsidRDefault="00C40494" w:rsidP="00B2600C">
            <w:pPr>
              <w:spacing w:after="0" w:line="240" w:lineRule="auto"/>
              <w:rPr>
                <w:rFonts w:ascii="Trebuchet MS" w:eastAsia="Times New Roman" w:hAnsi="Trebuchet MS" w:cs="Times New Roman"/>
                <w:color w:val="000000"/>
                <w:sz w:val="18"/>
                <w:szCs w:val="18"/>
                <w:lang w:eastAsia="en-GB"/>
              </w:rPr>
            </w:pPr>
            <w:r w:rsidRPr="007337C6">
              <w:rPr>
                <w:rFonts w:ascii="Trebuchet MS" w:eastAsia="Times New Roman" w:hAnsi="Trebuchet MS" w:cs="Times New Roman"/>
                <w:color w:val="000000"/>
                <w:sz w:val="18"/>
                <w:szCs w:val="18"/>
                <w:lang w:eastAsia="en-GB"/>
              </w:rPr>
              <w:t> </w:t>
            </w:r>
          </w:p>
        </w:tc>
        <w:tc>
          <w:tcPr>
            <w:tcW w:w="1242" w:type="dxa"/>
            <w:tcBorders>
              <w:top w:val="nil"/>
              <w:left w:val="nil"/>
              <w:bottom w:val="single" w:sz="8" w:space="0" w:color="0070C0"/>
              <w:right w:val="nil"/>
            </w:tcBorders>
            <w:shd w:val="clear" w:color="auto" w:fill="auto"/>
            <w:noWrap/>
            <w:vAlign w:val="center"/>
            <w:hideMark/>
          </w:tcPr>
          <w:p w14:paraId="306A4167" w14:textId="77777777" w:rsidR="00C40494" w:rsidRPr="007337C6" w:rsidRDefault="00C40494" w:rsidP="00B2600C">
            <w:pPr>
              <w:spacing w:after="0" w:line="240" w:lineRule="auto"/>
              <w:rPr>
                <w:rFonts w:ascii="Trebuchet MS" w:eastAsia="Times New Roman" w:hAnsi="Trebuchet MS" w:cs="Times New Roman"/>
                <w:color w:val="000000"/>
                <w:sz w:val="18"/>
                <w:szCs w:val="18"/>
                <w:lang w:eastAsia="en-GB"/>
              </w:rPr>
            </w:pPr>
            <w:r w:rsidRPr="007337C6">
              <w:rPr>
                <w:rFonts w:ascii="Trebuchet MS" w:eastAsia="Times New Roman" w:hAnsi="Trebuchet MS" w:cs="Times New Roman"/>
                <w:color w:val="000000"/>
                <w:sz w:val="18"/>
                <w:szCs w:val="18"/>
                <w:lang w:eastAsia="en-GB"/>
              </w:rPr>
              <w:t> </w:t>
            </w:r>
          </w:p>
        </w:tc>
        <w:tc>
          <w:tcPr>
            <w:tcW w:w="1088" w:type="dxa"/>
            <w:tcBorders>
              <w:top w:val="nil"/>
              <w:left w:val="nil"/>
              <w:bottom w:val="single" w:sz="8" w:space="0" w:color="0070C0"/>
              <w:right w:val="nil"/>
            </w:tcBorders>
            <w:shd w:val="clear" w:color="auto" w:fill="auto"/>
            <w:noWrap/>
            <w:vAlign w:val="center"/>
            <w:hideMark/>
          </w:tcPr>
          <w:p w14:paraId="775BD6BE" w14:textId="77777777" w:rsidR="00C40494" w:rsidRPr="007337C6" w:rsidRDefault="00C40494" w:rsidP="00B2600C">
            <w:pPr>
              <w:spacing w:after="0" w:line="240" w:lineRule="auto"/>
              <w:rPr>
                <w:rFonts w:ascii="Trebuchet MS" w:eastAsia="Times New Roman" w:hAnsi="Trebuchet MS" w:cs="Times New Roman"/>
                <w:color w:val="000000"/>
                <w:sz w:val="18"/>
                <w:szCs w:val="18"/>
                <w:lang w:eastAsia="en-GB"/>
              </w:rPr>
            </w:pPr>
            <w:r w:rsidRPr="007337C6">
              <w:rPr>
                <w:rFonts w:ascii="Trebuchet MS" w:eastAsia="Times New Roman" w:hAnsi="Trebuchet MS" w:cs="Times New Roman"/>
                <w:color w:val="000000"/>
                <w:sz w:val="18"/>
                <w:szCs w:val="18"/>
                <w:lang w:eastAsia="en-GB"/>
              </w:rPr>
              <w:t> </w:t>
            </w:r>
          </w:p>
        </w:tc>
        <w:tc>
          <w:tcPr>
            <w:tcW w:w="222" w:type="dxa"/>
            <w:tcBorders>
              <w:top w:val="nil"/>
              <w:left w:val="nil"/>
              <w:bottom w:val="nil"/>
              <w:right w:val="nil"/>
            </w:tcBorders>
            <w:shd w:val="clear" w:color="auto" w:fill="auto"/>
            <w:noWrap/>
            <w:vAlign w:val="bottom"/>
            <w:hideMark/>
          </w:tcPr>
          <w:p w14:paraId="194A3E6C" w14:textId="77777777" w:rsidR="00C40494" w:rsidRPr="007337C6" w:rsidRDefault="00C40494" w:rsidP="00B2600C">
            <w:pPr>
              <w:spacing w:after="0" w:line="240" w:lineRule="auto"/>
              <w:rPr>
                <w:rFonts w:ascii="Trebuchet MS" w:eastAsia="Times New Roman" w:hAnsi="Trebuchet MS" w:cs="Times New Roman"/>
                <w:color w:val="000000"/>
                <w:sz w:val="18"/>
                <w:szCs w:val="18"/>
                <w:lang w:eastAsia="en-GB"/>
              </w:rPr>
            </w:pPr>
          </w:p>
        </w:tc>
        <w:tc>
          <w:tcPr>
            <w:tcW w:w="712" w:type="dxa"/>
            <w:tcBorders>
              <w:top w:val="nil"/>
              <w:left w:val="nil"/>
              <w:bottom w:val="single" w:sz="8" w:space="0" w:color="0070C0"/>
              <w:right w:val="nil"/>
            </w:tcBorders>
            <w:shd w:val="clear" w:color="auto" w:fill="auto"/>
            <w:noWrap/>
            <w:vAlign w:val="center"/>
            <w:hideMark/>
          </w:tcPr>
          <w:p w14:paraId="50497167" w14:textId="77777777" w:rsidR="00C40494" w:rsidRPr="007337C6" w:rsidRDefault="00C40494" w:rsidP="00B2600C">
            <w:pPr>
              <w:spacing w:after="0" w:line="240" w:lineRule="auto"/>
              <w:rPr>
                <w:rFonts w:ascii="Trebuchet MS" w:eastAsia="Times New Roman" w:hAnsi="Trebuchet MS" w:cs="Times New Roman"/>
                <w:color w:val="000000"/>
                <w:sz w:val="18"/>
                <w:szCs w:val="18"/>
                <w:lang w:eastAsia="en-GB"/>
              </w:rPr>
            </w:pPr>
            <w:r w:rsidRPr="007337C6">
              <w:rPr>
                <w:rFonts w:ascii="Trebuchet MS" w:eastAsia="Times New Roman" w:hAnsi="Trebuchet MS" w:cs="Times New Roman"/>
                <w:color w:val="000000"/>
                <w:sz w:val="18"/>
                <w:szCs w:val="18"/>
                <w:lang w:eastAsia="en-GB"/>
              </w:rPr>
              <w:t> </w:t>
            </w:r>
          </w:p>
        </w:tc>
        <w:tc>
          <w:tcPr>
            <w:tcW w:w="1301" w:type="dxa"/>
            <w:tcBorders>
              <w:top w:val="nil"/>
              <w:left w:val="nil"/>
              <w:bottom w:val="single" w:sz="8" w:space="0" w:color="0070C0"/>
              <w:right w:val="nil"/>
            </w:tcBorders>
            <w:shd w:val="clear" w:color="auto" w:fill="auto"/>
            <w:noWrap/>
            <w:vAlign w:val="center"/>
            <w:hideMark/>
          </w:tcPr>
          <w:p w14:paraId="2C9050CA" w14:textId="77777777" w:rsidR="00C40494" w:rsidRPr="007337C6" w:rsidRDefault="00C40494" w:rsidP="00B2600C">
            <w:pPr>
              <w:spacing w:after="0" w:line="240" w:lineRule="auto"/>
              <w:rPr>
                <w:rFonts w:ascii="Trebuchet MS" w:eastAsia="Times New Roman" w:hAnsi="Trebuchet MS" w:cs="Times New Roman"/>
                <w:color w:val="000000"/>
                <w:sz w:val="18"/>
                <w:szCs w:val="18"/>
                <w:lang w:eastAsia="en-GB"/>
              </w:rPr>
            </w:pPr>
            <w:r w:rsidRPr="007337C6">
              <w:rPr>
                <w:rFonts w:ascii="Trebuchet MS" w:eastAsia="Times New Roman" w:hAnsi="Trebuchet MS" w:cs="Times New Roman"/>
                <w:color w:val="000000"/>
                <w:sz w:val="18"/>
                <w:szCs w:val="18"/>
                <w:lang w:eastAsia="en-GB"/>
              </w:rPr>
              <w:t> </w:t>
            </w:r>
          </w:p>
        </w:tc>
        <w:tc>
          <w:tcPr>
            <w:tcW w:w="1088" w:type="dxa"/>
            <w:tcBorders>
              <w:top w:val="nil"/>
              <w:left w:val="nil"/>
              <w:bottom w:val="single" w:sz="8" w:space="0" w:color="0070C0"/>
              <w:right w:val="nil"/>
            </w:tcBorders>
            <w:shd w:val="clear" w:color="auto" w:fill="auto"/>
            <w:noWrap/>
            <w:vAlign w:val="center"/>
            <w:hideMark/>
          </w:tcPr>
          <w:p w14:paraId="37781D17" w14:textId="77777777" w:rsidR="00C40494" w:rsidRPr="007337C6" w:rsidRDefault="00C40494" w:rsidP="00B2600C">
            <w:pPr>
              <w:spacing w:after="0" w:line="240" w:lineRule="auto"/>
              <w:rPr>
                <w:rFonts w:ascii="Trebuchet MS" w:eastAsia="Times New Roman" w:hAnsi="Trebuchet MS" w:cs="Times New Roman"/>
                <w:color w:val="000000"/>
                <w:sz w:val="18"/>
                <w:szCs w:val="18"/>
                <w:lang w:eastAsia="en-GB"/>
              </w:rPr>
            </w:pPr>
            <w:r w:rsidRPr="007337C6">
              <w:rPr>
                <w:rFonts w:ascii="Trebuchet MS" w:eastAsia="Times New Roman" w:hAnsi="Trebuchet MS" w:cs="Times New Roman"/>
                <w:color w:val="000000"/>
                <w:sz w:val="18"/>
                <w:szCs w:val="18"/>
                <w:lang w:eastAsia="en-GB"/>
              </w:rPr>
              <w:t> </w:t>
            </w:r>
          </w:p>
        </w:tc>
      </w:tr>
      <w:tr w:rsidR="00C40494" w:rsidRPr="007337C6" w14:paraId="1307DA8F" w14:textId="77777777" w:rsidTr="00B2600C">
        <w:trPr>
          <w:trHeight w:val="59"/>
        </w:trPr>
        <w:tc>
          <w:tcPr>
            <w:tcW w:w="921" w:type="dxa"/>
            <w:tcBorders>
              <w:top w:val="nil"/>
              <w:left w:val="nil"/>
              <w:bottom w:val="nil"/>
              <w:right w:val="nil"/>
            </w:tcBorders>
            <w:shd w:val="clear" w:color="auto" w:fill="auto"/>
            <w:noWrap/>
            <w:vAlign w:val="bottom"/>
            <w:hideMark/>
          </w:tcPr>
          <w:p w14:paraId="38059C17" w14:textId="77777777" w:rsidR="00C40494" w:rsidRPr="007337C6" w:rsidRDefault="00C40494" w:rsidP="00B2600C">
            <w:pPr>
              <w:spacing w:after="0" w:line="240" w:lineRule="auto"/>
              <w:rPr>
                <w:rFonts w:ascii="Trebuchet MS" w:eastAsia="Times New Roman" w:hAnsi="Trebuchet MS" w:cs="Times New Roman"/>
                <w:color w:val="000000"/>
                <w:sz w:val="18"/>
                <w:szCs w:val="18"/>
                <w:lang w:eastAsia="en-GB"/>
              </w:rPr>
            </w:pPr>
          </w:p>
        </w:tc>
        <w:tc>
          <w:tcPr>
            <w:tcW w:w="1766" w:type="dxa"/>
            <w:tcBorders>
              <w:top w:val="nil"/>
              <w:left w:val="nil"/>
              <w:bottom w:val="nil"/>
              <w:right w:val="nil"/>
            </w:tcBorders>
            <w:shd w:val="clear" w:color="auto" w:fill="auto"/>
            <w:noWrap/>
            <w:vAlign w:val="bottom"/>
            <w:hideMark/>
          </w:tcPr>
          <w:p w14:paraId="4A41DEA5" w14:textId="77777777" w:rsidR="00C40494" w:rsidRPr="007337C6" w:rsidRDefault="00C40494" w:rsidP="00B2600C">
            <w:pPr>
              <w:spacing w:after="0" w:line="240" w:lineRule="auto"/>
              <w:rPr>
                <w:rFonts w:ascii="Trebuchet MS" w:eastAsia="Times New Roman" w:hAnsi="Trebuchet MS" w:cs="Times New Roman"/>
                <w:sz w:val="20"/>
                <w:szCs w:val="20"/>
                <w:lang w:eastAsia="en-GB"/>
              </w:rPr>
            </w:pPr>
          </w:p>
        </w:tc>
        <w:tc>
          <w:tcPr>
            <w:tcW w:w="1088" w:type="dxa"/>
            <w:tcBorders>
              <w:top w:val="nil"/>
              <w:left w:val="nil"/>
              <w:bottom w:val="nil"/>
              <w:right w:val="nil"/>
            </w:tcBorders>
            <w:shd w:val="clear" w:color="auto" w:fill="auto"/>
            <w:noWrap/>
            <w:vAlign w:val="bottom"/>
            <w:hideMark/>
          </w:tcPr>
          <w:p w14:paraId="5C0733EF" w14:textId="77777777" w:rsidR="00C40494" w:rsidRPr="007337C6" w:rsidRDefault="00C40494" w:rsidP="00B2600C">
            <w:pPr>
              <w:spacing w:after="0" w:line="240" w:lineRule="auto"/>
              <w:rPr>
                <w:rFonts w:ascii="Trebuchet MS" w:eastAsia="Times New Roman" w:hAnsi="Trebuchet MS"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1B60496B" w14:textId="77777777" w:rsidR="00C40494" w:rsidRPr="007337C6" w:rsidRDefault="00C40494" w:rsidP="00B2600C">
            <w:pPr>
              <w:spacing w:after="0" w:line="240" w:lineRule="auto"/>
              <w:rPr>
                <w:rFonts w:ascii="Trebuchet MS" w:eastAsia="Times New Roman" w:hAnsi="Trebuchet MS" w:cs="Times New Roman"/>
                <w:sz w:val="20"/>
                <w:szCs w:val="20"/>
                <w:lang w:eastAsia="en-GB"/>
              </w:rPr>
            </w:pPr>
          </w:p>
        </w:tc>
        <w:tc>
          <w:tcPr>
            <w:tcW w:w="816" w:type="dxa"/>
            <w:tcBorders>
              <w:top w:val="nil"/>
              <w:left w:val="nil"/>
              <w:bottom w:val="nil"/>
              <w:right w:val="nil"/>
            </w:tcBorders>
            <w:shd w:val="clear" w:color="auto" w:fill="auto"/>
            <w:noWrap/>
            <w:vAlign w:val="bottom"/>
            <w:hideMark/>
          </w:tcPr>
          <w:p w14:paraId="57ED4F6F" w14:textId="77777777" w:rsidR="00C40494" w:rsidRPr="007337C6" w:rsidRDefault="00C40494" w:rsidP="00B2600C">
            <w:pPr>
              <w:spacing w:after="0" w:line="240" w:lineRule="auto"/>
              <w:rPr>
                <w:rFonts w:ascii="Trebuchet MS" w:eastAsia="Times New Roman" w:hAnsi="Trebuchet MS" w:cs="Times New Roman"/>
                <w:sz w:val="20"/>
                <w:szCs w:val="20"/>
                <w:lang w:eastAsia="en-GB"/>
              </w:rPr>
            </w:pPr>
          </w:p>
        </w:tc>
        <w:tc>
          <w:tcPr>
            <w:tcW w:w="1242" w:type="dxa"/>
            <w:tcBorders>
              <w:top w:val="nil"/>
              <w:left w:val="nil"/>
              <w:bottom w:val="nil"/>
              <w:right w:val="nil"/>
            </w:tcBorders>
            <w:shd w:val="clear" w:color="auto" w:fill="auto"/>
            <w:noWrap/>
            <w:vAlign w:val="bottom"/>
            <w:hideMark/>
          </w:tcPr>
          <w:p w14:paraId="460D2CB1" w14:textId="77777777" w:rsidR="00C40494" w:rsidRPr="007337C6" w:rsidRDefault="00C40494" w:rsidP="00B2600C">
            <w:pPr>
              <w:spacing w:after="0" w:line="240" w:lineRule="auto"/>
              <w:rPr>
                <w:rFonts w:ascii="Trebuchet MS" w:eastAsia="Times New Roman" w:hAnsi="Trebuchet MS" w:cs="Times New Roman"/>
                <w:sz w:val="20"/>
                <w:szCs w:val="20"/>
                <w:lang w:eastAsia="en-GB"/>
              </w:rPr>
            </w:pPr>
          </w:p>
        </w:tc>
        <w:tc>
          <w:tcPr>
            <w:tcW w:w="1088" w:type="dxa"/>
            <w:tcBorders>
              <w:top w:val="nil"/>
              <w:left w:val="nil"/>
              <w:bottom w:val="nil"/>
              <w:right w:val="nil"/>
            </w:tcBorders>
            <w:shd w:val="clear" w:color="auto" w:fill="auto"/>
            <w:noWrap/>
            <w:vAlign w:val="bottom"/>
            <w:hideMark/>
          </w:tcPr>
          <w:p w14:paraId="02785434" w14:textId="77777777" w:rsidR="00C40494" w:rsidRPr="007337C6" w:rsidRDefault="00C40494" w:rsidP="00B2600C">
            <w:pPr>
              <w:spacing w:after="0" w:line="240" w:lineRule="auto"/>
              <w:rPr>
                <w:rFonts w:ascii="Trebuchet MS" w:eastAsia="Times New Roman" w:hAnsi="Trebuchet MS"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D42F075" w14:textId="77777777" w:rsidR="00C40494" w:rsidRPr="007337C6" w:rsidRDefault="00C40494" w:rsidP="00B2600C">
            <w:pPr>
              <w:spacing w:after="0" w:line="240" w:lineRule="auto"/>
              <w:rPr>
                <w:rFonts w:ascii="Trebuchet MS" w:eastAsia="Times New Roman" w:hAnsi="Trebuchet MS" w:cs="Times New Roman"/>
                <w:sz w:val="20"/>
                <w:szCs w:val="20"/>
                <w:lang w:eastAsia="en-GB"/>
              </w:rPr>
            </w:pPr>
          </w:p>
        </w:tc>
        <w:tc>
          <w:tcPr>
            <w:tcW w:w="712" w:type="dxa"/>
            <w:tcBorders>
              <w:top w:val="nil"/>
              <w:left w:val="nil"/>
              <w:bottom w:val="nil"/>
              <w:right w:val="nil"/>
            </w:tcBorders>
            <w:shd w:val="clear" w:color="auto" w:fill="auto"/>
            <w:noWrap/>
            <w:vAlign w:val="bottom"/>
            <w:hideMark/>
          </w:tcPr>
          <w:p w14:paraId="6C0FA0BB" w14:textId="77777777" w:rsidR="00C40494" w:rsidRPr="007337C6" w:rsidRDefault="00C40494" w:rsidP="00B2600C">
            <w:pPr>
              <w:spacing w:after="0" w:line="240" w:lineRule="auto"/>
              <w:rPr>
                <w:rFonts w:ascii="Trebuchet MS" w:eastAsia="Times New Roman" w:hAnsi="Trebuchet MS" w:cs="Times New Roman"/>
                <w:sz w:val="20"/>
                <w:szCs w:val="20"/>
                <w:lang w:eastAsia="en-GB"/>
              </w:rPr>
            </w:pPr>
          </w:p>
        </w:tc>
        <w:tc>
          <w:tcPr>
            <w:tcW w:w="1301" w:type="dxa"/>
            <w:tcBorders>
              <w:top w:val="nil"/>
              <w:left w:val="nil"/>
              <w:bottom w:val="nil"/>
              <w:right w:val="nil"/>
            </w:tcBorders>
            <w:shd w:val="clear" w:color="auto" w:fill="auto"/>
            <w:noWrap/>
            <w:vAlign w:val="bottom"/>
            <w:hideMark/>
          </w:tcPr>
          <w:p w14:paraId="2E9609D0" w14:textId="77777777" w:rsidR="00C40494" w:rsidRPr="007337C6" w:rsidRDefault="00C40494" w:rsidP="00B2600C">
            <w:pPr>
              <w:spacing w:after="0" w:line="240" w:lineRule="auto"/>
              <w:rPr>
                <w:rFonts w:ascii="Trebuchet MS" w:eastAsia="Times New Roman" w:hAnsi="Trebuchet MS" w:cs="Times New Roman"/>
                <w:sz w:val="20"/>
                <w:szCs w:val="20"/>
                <w:lang w:eastAsia="en-GB"/>
              </w:rPr>
            </w:pPr>
          </w:p>
        </w:tc>
        <w:tc>
          <w:tcPr>
            <w:tcW w:w="1088" w:type="dxa"/>
            <w:tcBorders>
              <w:top w:val="nil"/>
              <w:left w:val="nil"/>
              <w:bottom w:val="nil"/>
              <w:right w:val="nil"/>
            </w:tcBorders>
            <w:shd w:val="clear" w:color="auto" w:fill="auto"/>
            <w:noWrap/>
            <w:vAlign w:val="bottom"/>
            <w:hideMark/>
          </w:tcPr>
          <w:p w14:paraId="4D034F59" w14:textId="77777777" w:rsidR="00C40494" w:rsidRPr="007337C6" w:rsidRDefault="00C40494" w:rsidP="00B2600C">
            <w:pPr>
              <w:spacing w:after="0" w:line="240" w:lineRule="auto"/>
              <w:rPr>
                <w:rFonts w:ascii="Trebuchet MS" w:eastAsia="Times New Roman" w:hAnsi="Trebuchet MS" w:cs="Times New Roman"/>
                <w:sz w:val="20"/>
                <w:szCs w:val="20"/>
                <w:lang w:eastAsia="en-GB"/>
              </w:rPr>
            </w:pPr>
          </w:p>
        </w:tc>
      </w:tr>
      <w:tr w:rsidR="00C40494" w:rsidRPr="007337C6" w14:paraId="6E1944A1" w14:textId="77777777" w:rsidTr="00B2600C">
        <w:trPr>
          <w:trHeight w:val="259"/>
        </w:trPr>
        <w:tc>
          <w:tcPr>
            <w:tcW w:w="921" w:type="dxa"/>
            <w:tcBorders>
              <w:top w:val="nil"/>
              <w:left w:val="nil"/>
              <w:bottom w:val="single" w:sz="8" w:space="0" w:color="0070C0"/>
              <w:right w:val="nil"/>
            </w:tcBorders>
            <w:shd w:val="clear" w:color="auto" w:fill="auto"/>
            <w:noWrap/>
            <w:vAlign w:val="center"/>
            <w:hideMark/>
          </w:tcPr>
          <w:p w14:paraId="2F584F88" w14:textId="77777777" w:rsidR="00C40494" w:rsidRPr="007337C6" w:rsidRDefault="00C40494" w:rsidP="00B2600C">
            <w:pPr>
              <w:spacing w:after="0" w:line="240" w:lineRule="auto"/>
              <w:rPr>
                <w:rFonts w:ascii="Trebuchet MS" w:eastAsia="Times New Roman" w:hAnsi="Trebuchet MS" w:cs="Times New Roman"/>
                <w:color w:val="000000"/>
                <w:sz w:val="18"/>
                <w:szCs w:val="18"/>
                <w:lang w:eastAsia="en-GB"/>
              </w:rPr>
            </w:pPr>
            <w:r w:rsidRPr="007337C6">
              <w:rPr>
                <w:rFonts w:ascii="Trebuchet MS" w:hAnsi="Trebuchet MS" w:cs="Calibri"/>
                <w:color w:val="000000"/>
                <w:sz w:val="18"/>
                <w:szCs w:val="18"/>
              </w:rPr>
              <w:t>SCR %</w:t>
            </w:r>
          </w:p>
        </w:tc>
        <w:tc>
          <w:tcPr>
            <w:tcW w:w="1766" w:type="dxa"/>
            <w:tcBorders>
              <w:top w:val="nil"/>
              <w:left w:val="nil"/>
              <w:bottom w:val="single" w:sz="8" w:space="0" w:color="0070C0"/>
              <w:right w:val="nil"/>
            </w:tcBorders>
            <w:shd w:val="clear" w:color="auto" w:fill="auto"/>
            <w:noWrap/>
            <w:vAlign w:val="center"/>
            <w:hideMark/>
          </w:tcPr>
          <w:p w14:paraId="69EFD4FE" w14:textId="77777777" w:rsidR="00C40494" w:rsidRPr="007337C6" w:rsidRDefault="00C40494" w:rsidP="00B2600C">
            <w:pPr>
              <w:spacing w:after="0" w:line="240" w:lineRule="auto"/>
              <w:jc w:val="right"/>
              <w:rPr>
                <w:rFonts w:ascii="Trebuchet MS" w:eastAsia="Times New Roman" w:hAnsi="Trebuchet MS" w:cs="Times New Roman"/>
                <w:color w:val="000000"/>
                <w:sz w:val="18"/>
                <w:szCs w:val="18"/>
                <w:lang w:eastAsia="en-GB"/>
              </w:rPr>
            </w:pPr>
            <w:r w:rsidRPr="007337C6">
              <w:rPr>
                <w:rFonts w:ascii="Trebuchet MS" w:hAnsi="Trebuchet MS" w:cs="Calibri"/>
                <w:color w:val="000000"/>
                <w:sz w:val="18"/>
                <w:szCs w:val="18"/>
              </w:rPr>
              <w:t>143%</w:t>
            </w:r>
          </w:p>
        </w:tc>
        <w:tc>
          <w:tcPr>
            <w:tcW w:w="1088" w:type="dxa"/>
            <w:tcBorders>
              <w:top w:val="nil"/>
              <w:left w:val="nil"/>
              <w:bottom w:val="single" w:sz="8" w:space="0" w:color="0070C0"/>
              <w:right w:val="nil"/>
            </w:tcBorders>
            <w:shd w:val="clear" w:color="auto" w:fill="auto"/>
            <w:noWrap/>
            <w:vAlign w:val="center"/>
            <w:hideMark/>
          </w:tcPr>
          <w:p w14:paraId="30CB0425" w14:textId="77777777" w:rsidR="00C40494" w:rsidRPr="007337C6" w:rsidRDefault="00C40494" w:rsidP="00B2600C">
            <w:pPr>
              <w:spacing w:after="0" w:line="240" w:lineRule="auto"/>
              <w:jc w:val="right"/>
              <w:rPr>
                <w:rFonts w:ascii="Trebuchet MS" w:eastAsia="Times New Roman" w:hAnsi="Trebuchet MS" w:cs="Times New Roman"/>
                <w:color w:val="000000"/>
                <w:sz w:val="18"/>
                <w:szCs w:val="18"/>
                <w:lang w:eastAsia="en-GB"/>
              </w:rPr>
            </w:pPr>
            <w:r w:rsidRPr="007337C6">
              <w:rPr>
                <w:rFonts w:ascii="Trebuchet MS" w:hAnsi="Trebuchet MS" w:cs="Calibri"/>
                <w:color w:val="000000"/>
                <w:sz w:val="18"/>
                <w:szCs w:val="18"/>
              </w:rPr>
              <w:t>172%</w:t>
            </w:r>
          </w:p>
        </w:tc>
        <w:tc>
          <w:tcPr>
            <w:tcW w:w="222" w:type="dxa"/>
            <w:tcBorders>
              <w:top w:val="nil"/>
              <w:left w:val="nil"/>
              <w:bottom w:val="nil"/>
              <w:right w:val="nil"/>
            </w:tcBorders>
            <w:shd w:val="clear" w:color="auto" w:fill="auto"/>
            <w:noWrap/>
            <w:vAlign w:val="bottom"/>
            <w:hideMark/>
          </w:tcPr>
          <w:p w14:paraId="776ABA2F" w14:textId="77777777" w:rsidR="00C40494" w:rsidRPr="007337C6" w:rsidRDefault="00C40494" w:rsidP="00B2600C">
            <w:pPr>
              <w:spacing w:after="0" w:line="240" w:lineRule="auto"/>
              <w:jc w:val="right"/>
              <w:rPr>
                <w:rFonts w:ascii="Trebuchet MS" w:eastAsia="Times New Roman" w:hAnsi="Trebuchet MS" w:cs="Times New Roman"/>
                <w:color w:val="000000"/>
                <w:sz w:val="18"/>
                <w:szCs w:val="18"/>
                <w:lang w:eastAsia="en-GB"/>
              </w:rPr>
            </w:pPr>
          </w:p>
        </w:tc>
        <w:tc>
          <w:tcPr>
            <w:tcW w:w="816" w:type="dxa"/>
            <w:tcBorders>
              <w:top w:val="nil"/>
              <w:left w:val="nil"/>
              <w:bottom w:val="single" w:sz="8" w:space="0" w:color="0070C0"/>
              <w:right w:val="nil"/>
            </w:tcBorders>
            <w:shd w:val="clear" w:color="auto" w:fill="auto"/>
            <w:noWrap/>
            <w:vAlign w:val="center"/>
            <w:hideMark/>
          </w:tcPr>
          <w:p w14:paraId="5475867F" w14:textId="77777777" w:rsidR="00C40494" w:rsidRPr="007337C6" w:rsidRDefault="00C40494" w:rsidP="00B2600C">
            <w:pPr>
              <w:spacing w:after="0" w:line="240" w:lineRule="auto"/>
              <w:rPr>
                <w:rFonts w:ascii="Trebuchet MS" w:eastAsia="Times New Roman" w:hAnsi="Trebuchet MS" w:cs="Times New Roman"/>
                <w:color w:val="000000"/>
                <w:sz w:val="18"/>
                <w:szCs w:val="18"/>
                <w:lang w:eastAsia="en-GB"/>
              </w:rPr>
            </w:pPr>
            <w:r w:rsidRPr="007337C6">
              <w:rPr>
                <w:rFonts w:ascii="Trebuchet MS" w:hAnsi="Trebuchet MS" w:cs="Calibri"/>
                <w:color w:val="000000"/>
                <w:sz w:val="18"/>
                <w:szCs w:val="18"/>
              </w:rPr>
              <w:t>SCR %</w:t>
            </w:r>
          </w:p>
        </w:tc>
        <w:tc>
          <w:tcPr>
            <w:tcW w:w="1242" w:type="dxa"/>
            <w:tcBorders>
              <w:top w:val="nil"/>
              <w:left w:val="nil"/>
              <w:bottom w:val="single" w:sz="8" w:space="0" w:color="0070C0"/>
              <w:right w:val="nil"/>
            </w:tcBorders>
            <w:shd w:val="clear" w:color="auto" w:fill="auto"/>
            <w:noWrap/>
            <w:vAlign w:val="center"/>
            <w:hideMark/>
          </w:tcPr>
          <w:p w14:paraId="3BB5A5DB" w14:textId="77777777" w:rsidR="00C40494" w:rsidRPr="007337C6" w:rsidRDefault="00C40494" w:rsidP="00B2600C">
            <w:pPr>
              <w:spacing w:after="0" w:line="240" w:lineRule="auto"/>
              <w:jc w:val="right"/>
              <w:rPr>
                <w:rFonts w:ascii="Trebuchet MS" w:eastAsia="Times New Roman" w:hAnsi="Trebuchet MS" w:cs="Times New Roman"/>
                <w:color w:val="000000"/>
                <w:sz w:val="18"/>
                <w:szCs w:val="18"/>
                <w:lang w:eastAsia="en-GB"/>
              </w:rPr>
            </w:pPr>
            <w:r w:rsidRPr="007337C6">
              <w:rPr>
                <w:rFonts w:ascii="Trebuchet MS" w:hAnsi="Trebuchet MS" w:cs="Calibri"/>
                <w:color w:val="000000"/>
                <w:sz w:val="18"/>
                <w:szCs w:val="18"/>
              </w:rPr>
              <w:t>180%</w:t>
            </w:r>
          </w:p>
        </w:tc>
        <w:tc>
          <w:tcPr>
            <w:tcW w:w="1088" w:type="dxa"/>
            <w:tcBorders>
              <w:top w:val="nil"/>
              <w:left w:val="nil"/>
              <w:bottom w:val="single" w:sz="8" w:space="0" w:color="0070C0"/>
              <w:right w:val="nil"/>
            </w:tcBorders>
            <w:shd w:val="clear" w:color="auto" w:fill="auto"/>
            <w:noWrap/>
            <w:vAlign w:val="center"/>
            <w:hideMark/>
          </w:tcPr>
          <w:p w14:paraId="42A895BB" w14:textId="45796FC1" w:rsidR="00C40494" w:rsidRPr="007337C6" w:rsidRDefault="00C40494" w:rsidP="00B2600C">
            <w:pPr>
              <w:spacing w:after="0" w:line="240" w:lineRule="auto"/>
              <w:jc w:val="right"/>
              <w:rPr>
                <w:rFonts w:ascii="Trebuchet MS" w:eastAsia="Times New Roman" w:hAnsi="Trebuchet MS" w:cs="Times New Roman"/>
                <w:color w:val="000000"/>
                <w:sz w:val="18"/>
                <w:szCs w:val="18"/>
                <w:lang w:eastAsia="en-GB"/>
              </w:rPr>
            </w:pPr>
            <w:r w:rsidRPr="007337C6">
              <w:rPr>
                <w:rFonts w:ascii="Trebuchet MS" w:hAnsi="Trebuchet MS" w:cs="Calibri"/>
                <w:color w:val="000000"/>
                <w:sz w:val="18"/>
                <w:szCs w:val="18"/>
              </w:rPr>
              <w:t>2</w:t>
            </w:r>
            <w:r w:rsidR="00C96AB6">
              <w:rPr>
                <w:rFonts w:ascii="Trebuchet MS" w:hAnsi="Trebuchet MS" w:cs="Calibri"/>
                <w:color w:val="000000"/>
                <w:sz w:val="18"/>
                <w:szCs w:val="18"/>
              </w:rPr>
              <w:t>24</w:t>
            </w:r>
            <w:r w:rsidRPr="007337C6">
              <w:rPr>
                <w:rFonts w:ascii="Trebuchet MS" w:hAnsi="Trebuchet MS" w:cs="Calibri"/>
                <w:color w:val="000000"/>
                <w:sz w:val="18"/>
                <w:szCs w:val="18"/>
              </w:rPr>
              <w:t>%</w:t>
            </w:r>
          </w:p>
        </w:tc>
        <w:tc>
          <w:tcPr>
            <w:tcW w:w="222" w:type="dxa"/>
            <w:tcBorders>
              <w:top w:val="nil"/>
              <w:left w:val="nil"/>
              <w:bottom w:val="nil"/>
              <w:right w:val="nil"/>
            </w:tcBorders>
            <w:shd w:val="clear" w:color="auto" w:fill="auto"/>
            <w:noWrap/>
            <w:vAlign w:val="bottom"/>
            <w:hideMark/>
          </w:tcPr>
          <w:p w14:paraId="5884F23C" w14:textId="77777777" w:rsidR="00C40494" w:rsidRPr="007337C6" w:rsidRDefault="00C40494" w:rsidP="00B2600C">
            <w:pPr>
              <w:spacing w:after="0" w:line="240" w:lineRule="auto"/>
              <w:jc w:val="right"/>
              <w:rPr>
                <w:rFonts w:ascii="Trebuchet MS" w:eastAsia="Times New Roman" w:hAnsi="Trebuchet MS" w:cs="Times New Roman"/>
                <w:color w:val="000000"/>
                <w:sz w:val="18"/>
                <w:szCs w:val="18"/>
                <w:lang w:eastAsia="en-GB"/>
              </w:rPr>
            </w:pPr>
          </w:p>
        </w:tc>
        <w:tc>
          <w:tcPr>
            <w:tcW w:w="712" w:type="dxa"/>
            <w:tcBorders>
              <w:top w:val="nil"/>
              <w:left w:val="nil"/>
              <w:bottom w:val="single" w:sz="8" w:space="0" w:color="0070C0"/>
              <w:right w:val="nil"/>
            </w:tcBorders>
            <w:shd w:val="clear" w:color="auto" w:fill="auto"/>
            <w:noWrap/>
            <w:vAlign w:val="center"/>
            <w:hideMark/>
          </w:tcPr>
          <w:p w14:paraId="7F4DD6B0" w14:textId="77777777" w:rsidR="00C40494" w:rsidRPr="007337C6" w:rsidRDefault="00C40494" w:rsidP="00B2600C">
            <w:pPr>
              <w:spacing w:after="0" w:line="240" w:lineRule="auto"/>
              <w:rPr>
                <w:rFonts w:ascii="Trebuchet MS" w:eastAsia="Times New Roman" w:hAnsi="Trebuchet MS" w:cs="Times New Roman"/>
                <w:color w:val="000000"/>
                <w:sz w:val="18"/>
                <w:szCs w:val="18"/>
                <w:lang w:eastAsia="en-GB"/>
              </w:rPr>
            </w:pPr>
            <w:r w:rsidRPr="007337C6">
              <w:rPr>
                <w:rFonts w:ascii="Trebuchet MS" w:hAnsi="Trebuchet MS" w:cs="Calibri"/>
                <w:color w:val="000000"/>
                <w:sz w:val="18"/>
                <w:szCs w:val="18"/>
              </w:rPr>
              <w:t>SCR %</w:t>
            </w:r>
          </w:p>
        </w:tc>
        <w:tc>
          <w:tcPr>
            <w:tcW w:w="1301" w:type="dxa"/>
            <w:tcBorders>
              <w:top w:val="nil"/>
              <w:left w:val="nil"/>
              <w:bottom w:val="single" w:sz="8" w:space="0" w:color="0070C0"/>
              <w:right w:val="nil"/>
            </w:tcBorders>
            <w:shd w:val="clear" w:color="auto" w:fill="auto"/>
            <w:noWrap/>
            <w:vAlign w:val="center"/>
            <w:hideMark/>
          </w:tcPr>
          <w:p w14:paraId="6832178B" w14:textId="77777777" w:rsidR="00C40494" w:rsidRPr="007337C6" w:rsidRDefault="00C40494" w:rsidP="00B2600C">
            <w:pPr>
              <w:spacing w:after="0" w:line="240" w:lineRule="auto"/>
              <w:jc w:val="right"/>
              <w:rPr>
                <w:rFonts w:ascii="Trebuchet MS" w:eastAsia="Times New Roman" w:hAnsi="Trebuchet MS" w:cs="Times New Roman"/>
                <w:color w:val="000000"/>
                <w:sz w:val="18"/>
                <w:szCs w:val="18"/>
                <w:lang w:eastAsia="en-GB"/>
              </w:rPr>
            </w:pPr>
            <w:r w:rsidRPr="007337C6">
              <w:rPr>
                <w:rFonts w:ascii="Trebuchet MS" w:hAnsi="Trebuchet MS" w:cs="Calibri"/>
                <w:color w:val="000000"/>
                <w:sz w:val="18"/>
                <w:szCs w:val="18"/>
              </w:rPr>
              <w:t>n/a</w:t>
            </w:r>
          </w:p>
        </w:tc>
        <w:tc>
          <w:tcPr>
            <w:tcW w:w="1088" w:type="dxa"/>
            <w:tcBorders>
              <w:top w:val="nil"/>
              <w:left w:val="nil"/>
              <w:bottom w:val="single" w:sz="8" w:space="0" w:color="0070C0"/>
              <w:right w:val="nil"/>
            </w:tcBorders>
            <w:shd w:val="clear" w:color="auto" w:fill="auto"/>
            <w:noWrap/>
            <w:vAlign w:val="center"/>
            <w:hideMark/>
          </w:tcPr>
          <w:p w14:paraId="64BE2834" w14:textId="77777777" w:rsidR="00C40494" w:rsidRPr="007337C6" w:rsidRDefault="00C40494" w:rsidP="00B2600C">
            <w:pPr>
              <w:spacing w:after="0" w:line="240" w:lineRule="auto"/>
              <w:jc w:val="right"/>
              <w:rPr>
                <w:rFonts w:ascii="Trebuchet MS" w:eastAsia="Times New Roman" w:hAnsi="Trebuchet MS" w:cs="Times New Roman"/>
                <w:color w:val="000000"/>
                <w:sz w:val="18"/>
                <w:szCs w:val="18"/>
                <w:lang w:eastAsia="en-GB"/>
              </w:rPr>
            </w:pPr>
            <w:r w:rsidRPr="007337C6">
              <w:rPr>
                <w:rFonts w:ascii="Trebuchet MS" w:hAnsi="Trebuchet MS" w:cs="Calibri"/>
                <w:color w:val="000000"/>
                <w:sz w:val="18"/>
                <w:szCs w:val="18"/>
              </w:rPr>
              <w:t>157%</w:t>
            </w:r>
          </w:p>
        </w:tc>
      </w:tr>
      <w:tr w:rsidR="00C40494" w:rsidRPr="007337C6" w14:paraId="2ECE5ACF" w14:textId="77777777" w:rsidTr="00B2600C">
        <w:trPr>
          <w:trHeight w:val="249"/>
        </w:trPr>
        <w:tc>
          <w:tcPr>
            <w:tcW w:w="921" w:type="dxa"/>
            <w:tcBorders>
              <w:top w:val="nil"/>
              <w:left w:val="nil"/>
              <w:bottom w:val="nil"/>
              <w:right w:val="nil"/>
            </w:tcBorders>
            <w:shd w:val="clear" w:color="auto" w:fill="auto"/>
            <w:noWrap/>
            <w:vAlign w:val="center"/>
            <w:hideMark/>
          </w:tcPr>
          <w:p w14:paraId="5A6ACA59" w14:textId="77777777" w:rsidR="00C40494" w:rsidRPr="007337C6" w:rsidRDefault="00C40494" w:rsidP="00B2600C">
            <w:pPr>
              <w:spacing w:after="0" w:line="240" w:lineRule="auto"/>
              <w:rPr>
                <w:rFonts w:ascii="Trebuchet MS" w:eastAsia="Times New Roman" w:hAnsi="Trebuchet MS" w:cs="Times New Roman"/>
                <w:color w:val="000000"/>
                <w:sz w:val="18"/>
                <w:szCs w:val="18"/>
                <w:lang w:eastAsia="en-GB"/>
              </w:rPr>
            </w:pPr>
            <w:r w:rsidRPr="007337C6">
              <w:rPr>
                <w:rFonts w:ascii="Trebuchet MS" w:hAnsi="Trebuchet MS" w:cs="Calibri"/>
                <w:color w:val="000000"/>
                <w:sz w:val="18"/>
                <w:szCs w:val="18"/>
              </w:rPr>
              <w:t>target</w:t>
            </w:r>
          </w:p>
        </w:tc>
        <w:tc>
          <w:tcPr>
            <w:tcW w:w="1766" w:type="dxa"/>
            <w:tcBorders>
              <w:top w:val="nil"/>
              <w:left w:val="nil"/>
              <w:bottom w:val="nil"/>
              <w:right w:val="nil"/>
            </w:tcBorders>
            <w:shd w:val="clear" w:color="auto" w:fill="auto"/>
            <w:noWrap/>
            <w:vAlign w:val="center"/>
            <w:hideMark/>
          </w:tcPr>
          <w:p w14:paraId="4DE1ADE5" w14:textId="77777777" w:rsidR="00C40494" w:rsidRPr="007337C6" w:rsidRDefault="00C40494" w:rsidP="00B2600C">
            <w:pPr>
              <w:spacing w:after="0" w:line="240" w:lineRule="auto"/>
              <w:jc w:val="right"/>
              <w:rPr>
                <w:rFonts w:ascii="Trebuchet MS" w:eastAsia="Times New Roman" w:hAnsi="Trebuchet MS" w:cs="Times New Roman"/>
                <w:color w:val="000000"/>
                <w:sz w:val="18"/>
                <w:szCs w:val="18"/>
                <w:lang w:eastAsia="en-GB"/>
              </w:rPr>
            </w:pPr>
            <w:r w:rsidRPr="007337C6">
              <w:rPr>
                <w:rFonts w:ascii="Trebuchet MS" w:hAnsi="Trebuchet MS" w:cs="Calibri"/>
                <w:color w:val="000000"/>
                <w:sz w:val="18"/>
                <w:szCs w:val="18"/>
              </w:rPr>
              <w:t>135%</w:t>
            </w:r>
          </w:p>
        </w:tc>
        <w:tc>
          <w:tcPr>
            <w:tcW w:w="1088" w:type="dxa"/>
            <w:tcBorders>
              <w:top w:val="nil"/>
              <w:left w:val="nil"/>
              <w:bottom w:val="nil"/>
              <w:right w:val="nil"/>
            </w:tcBorders>
            <w:shd w:val="clear" w:color="auto" w:fill="auto"/>
            <w:noWrap/>
            <w:vAlign w:val="center"/>
            <w:hideMark/>
          </w:tcPr>
          <w:p w14:paraId="65D903CE" w14:textId="77777777" w:rsidR="00C40494" w:rsidRPr="007337C6" w:rsidRDefault="00C40494" w:rsidP="00B2600C">
            <w:pPr>
              <w:spacing w:after="0" w:line="240" w:lineRule="auto"/>
              <w:jc w:val="right"/>
              <w:rPr>
                <w:rFonts w:ascii="Trebuchet MS" w:eastAsia="Times New Roman" w:hAnsi="Trebuchet MS" w:cs="Times New Roman"/>
                <w:color w:val="000000"/>
                <w:sz w:val="18"/>
                <w:szCs w:val="18"/>
                <w:lang w:eastAsia="en-GB"/>
              </w:rPr>
            </w:pPr>
            <w:r w:rsidRPr="007337C6">
              <w:rPr>
                <w:rFonts w:ascii="Trebuchet MS" w:hAnsi="Trebuchet MS" w:cs="Calibri"/>
                <w:color w:val="000000"/>
                <w:sz w:val="18"/>
                <w:szCs w:val="18"/>
              </w:rPr>
              <w:t>135%</w:t>
            </w:r>
          </w:p>
        </w:tc>
        <w:tc>
          <w:tcPr>
            <w:tcW w:w="222" w:type="dxa"/>
            <w:tcBorders>
              <w:top w:val="nil"/>
              <w:left w:val="nil"/>
              <w:bottom w:val="nil"/>
              <w:right w:val="nil"/>
            </w:tcBorders>
            <w:shd w:val="clear" w:color="auto" w:fill="auto"/>
            <w:noWrap/>
            <w:vAlign w:val="bottom"/>
            <w:hideMark/>
          </w:tcPr>
          <w:p w14:paraId="5173D8F7" w14:textId="77777777" w:rsidR="00C40494" w:rsidRPr="007337C6" w:rsidRDefault="00C40494" w:rsidP="00B2600C">
            <w:pPr>
              <w:spacing w:after="0" w:line="240" w:lineRule="auto"/>
              <w:jc w:val="right"/>
              <w:rPr>
                <w:rFonts w:ascii="Trebuchet MS" w:eastAsia="Times New Roman" w:hAnsi="Trebuchet MS" w:cs="Times New Roman"/>
                <w:color w:val="000000"/>
                <w:sz w:val="18"/>
                <w:szCs w:val="18"/>
                <w:lang w:eastAsia="en-GB"/>
              </w:rPr>
            </w:pPr>
          </w:p>
        </w:tc>
        <w:tc>
          <w:tcPr>
            <w:tcW w:w="816" w:type="dxa"/>
            <w:tcBorders>
              <w:top w:val="nil"/>
              <w:left w:val="nil"/>
              <w:bottom w:val="nil"/>
              <w:right w:val="nil"/>
            </w:tcBorders>
            <w:shd w:val="clear" w:color="auto" w:fill="auto"/>
            <w:noWrap/>
            <w:vAlign w:val="center"/>
            <w:hideMark/>
          </w:tcPr>
          <w:p w14:paraId="6457617B" w14:textId="77777777" w:rsidR="00C40494" w:rsidRPr="007337C6" w:rsidRDefault="00C40494" w:rsidP="00B2600C">
            <w:pPr>
              <w:spacing w:after="0" w:line="240" w:lineRule="auto"/>
              <w:rPr>
                <w:rFonts w:ascii="Trebuchet MS" w:eastAsia="Times New Roman" w:hAnsi="Trebuchet MS" w:cs="Times New Roman"/>
                <w:color w:val="000000"/>
                <w:sz w:val="18"/>
                <w:szCs w:val="18"/>
                <w:lang w:eastAsia="en-GB"/>
              </w:rPr>
            </w:pPr>
            <w:r w:rsidRPr="007337C6">
              <w:rPr>
                <w:rFonts w:ascii="Trebuchet MS" w:hAnsi="Trebuchet MS" w:cs="Calibri"/>
                <w:color w:val="000000"/>
                <w:sz w:val="18"/>
                <w:szCs w:val="18"/>
              </w:rPr>
              <w:t>target</w:t>
            </w:r>
          </w:p>
        </w:tc>
        <w:tc>
          <w:tcPr>
            <w:tcW w:w="1242" w:type="dxa"/>
            <w:tcBorders>
              <w:top w:val="nil"/>
              <w:left w:val="nil"/>
              <w:bottom w:val="nil"/>
              <w:right w:val="nil"/>
            </w:tcBorders>
            <w:shd w:val="clear" w:color="auto" w:fill="auto"/>
            <w:noWrap/>
            <w:vAlign w:val="center"/>
            <w:hideMark/>
          </w:tcPr>
          <w:p w14:paraId="07439F27" w14:textId="77777777" w:rsidR="00C40494" w:rsidRPr="007337C6" w:rsidRDefault="00C40494" w:rsidP="00B2600C">
            <w:pPr>
              <w:spacing w:after="0" w:line="240" w:lineRule="auto"/>
              <w:jc w:val="right"/>
              <w:rPr>
                <w:rFonts w:ascii="Trebuchet MS" w:eastAsia="Times New Roman" w:hAnsi="Trebuchet MS" w:cs="Times New Roman"/>
                <w:color w:val="000000"/>
                <w:sz w:val="18"/>
                <w:szCs w:val="18"/>
                <w:lang w:eastAsia="en-GB"/>
              </w:rPr>
            </w:pPr>
            <w:r w:rsidRPr="007337C6">
              <w:rPr>
                <w:rFonts w:ascii="Trebuchet MS" w:hAnsi="Trebuchet MS" w:cs="Calibri"/>
                <w:color w:val="000000"/>
                <w:sz w:val="18"/>
                <w:szCs w:val="18"/>
              </w:rPr>
              <w:t>125%</w:t>
            </w:r>
          </w:p>
        </w:tc>
        <w:tc>
          <w:tcPr>
            <w:tcW w:w="1088" w:type="dxa"/>
            <w:tcBorders>
              <w:top w:val="nil"/>
              <w:left w:val="nil"/>
              <w:bottom w:val="nil"/>
              <w:right w:val="nil"/>
            </w:tcBorders>
            <w:shd w:val="clear" w:color="auto" w:fill="auto"/>
            <w:noWrap/>
            <w:vAlign w:val="center"/>
            <w:hideMark/>
          </w:tcPr>
          <w:p w14:paraId="483D4B1F" w14:textId="77777777" w:rsidR="00C40494" w:rsidRPr="007337C6" w:rsidRDefault="00C40494" w:rsidP="00B2600C">
            <w:pPr>
              <w:spacing w:after="0" w:line="240" w:lineRule="auto"/>
              <w:jc w:val="right"/>
              <w:rPr>
                <w:rFonts w:ascii="Trebuchet MS" w:eastAsia="Times New Roman" w:hAnsi="Trebuchet MS" w:cs="Times New Roman"/>
                <w:color w:val="000000"/>
                <w:sz w:val="18"/>
                <w:szCs w:val="18"/>
                <w:lang w:eastAsia="en-GB"/>
              </w:rPr>
            </w:pPr>
            <w:r w:rsidRPr="007337C6">
              <w:rPr>
                <w:rFonts w:ascii="Trebuchet MS" w:hAnsi="Trebuchet MS" w:cs="Calibri"/>
                <w:color w:val="000000"/>
                <w:sz w:val="18"/>
                <w:szCs w:val="18"/>
              </w:rPr>
              <w:t>125%</w:t>
            </w:r>
          </w:p>
        </w:tc>
        <w:tc>
          <w:tcPr>
            <w:tcW w:w="222" w:type="dxa"/>
            <w:tcBorders>
              <w:top w:val="nil"/>
              <w:left w:val="nil"/>
              <w:bottom w:val="nil"/>
              <w:right w:val="nil"/>
            </w:tcBorders>
            <w:shd w:val="clear" w:color="auto" w:fill="auto"/>
            <w:noWrap/>
            <w:vAlign w:val="bottom"/>
            <w:hideMark/>
          </w:tcPr>
          <w:p w14:paraId="7277C7B0" w14:textId="77777777" w:rsidR="00C40494" w:rsidRPr="007337C6" w:rsidRDefault="00C40494" w:rsidP="00B2600C">
            <w:pPr>
              <w:spacing w:after="0" w:line="240" w:lineRule="auto"/>
              <w:jc w:val="right"/>
              <w:rPr>
                <w:rFonts w:ascii="Trebuchet MS" w:eastAsia="Times New Roman" w:hAnsi="Trebuchet MS" w:cs="Times New Roman"/>
                <w:color w:val="000000"/>
                <w:sz w:val="18"/>
                <w:szCs w:val="18"/>
                <w:lang w:eastAsia="en-GB"/>
              </w:rPr>
            </w:pPr>
          </w:p>
        </w:tc>
        <w:tc>
          <w:tcPr>
            <w:tcW w:w="712" w:type="dxa"/>
            <w:tcBorders>
              <w:top w:val="nil"/>
              <w:left w:val="nil"/>
              <w:bottom w:val="nil"/>
              <w:right w:val="nil"/>
            </w:tcBorders>
            <w:shd w:val="clear" w:color="auto" w:fill="auto"/>
            <w:noWrap/>
            <w:vAlign w:val="center"/>
            <w:hideMark/>
          </w:tcPr>
          <w:p w14:paraId="7834AC8F" w14:textId="77777777" w:rsidR="00C40494" w:rsidRPr="007337C6" w:rsidRDefault="00C40494" w:rsidP="00B2600C">
            <w:pPr>
              <w:spacing w:after="0" w:line="240" w:lineRule="auto"/>
              <w:rPr>
                <w:rFonts w:ascii="Trebuchet MS" w:eastAsia="Times New Roman" w:hAnsi="Trebuchet MS" w:cs="Times New Roman"/>
                <w:color w:val="000000"/>
                <w:sz w:val="18"/>
                <w:szCs w:val="18"/>
                <w:lang w:eastAsia="en-GB"/>
              </w:rPr>
            </w:pPr>
            <w:r w:rsidRPr="007337C6">
              <w:rPr>
                <w:rFonts w:ascii="Trebuchet MS" w:hAnsi="Trebuchet MS" w:cs="Calibri"/>
                <w:color w:val="000000"/>
                <w:sz w:val="18"/>
                <w:szCs w:val="18"/>
              </w:rPr>
              <w:t>target</w:t>
            </w:r>
          </w:p>
        </w:tc>
        <w:tc>
          <w:tcPr>
            <w:tcW w:w="1301" w:type="dxa"/>
            <w:tcBorders>
              <w:top w:val="nil"/>
              <w:left w:val="nil"/>
              <w:bottom w:val="nil"/>
              <w:right w:val="nil"/>
            </w:tcBorders>
            <w:shd w:val="clear" w:color="auto" w:fill="auto"/>
            <w:noWrap/>
            <w:vAlign w:val="center"/>
            <w:hideMark/>
          </w:tcPr>
          <w:p w14:paraId="17CCF372" w14:textId="77777777" w:rsidR="00C40494" w:rsidRPr="007337C6" w:rsidRDefault="00C40494" w:rsidP="00B2600C">
            <w:pPr>
              <w:spacing w:after="0" w:line="240" w:lineRule="auto"/>
              <w:jc w:val="right"/>
              <w:rPr>
                <w:rFonts w:ascii="Trebuchet MS" w:eastAsia="Times New Roman" w:hAnsi="Trebuchet MS" w:cs="Times New Roman"/>
                <w:color w:val="000000"/>
                <w:sz w:val="18"/>
                <w:szCs w:val="18"/>
                <w:lang w:eastAsia="en-GB"/>
              </w:rPr>
            </w:pPr>
            <w:r w:rsidRPr="007337C6">
              <w:rPr>
                <w:rFonts w:ascii="Trebuchet MS" w:hAnsi="Trebuchet MS" w:cs="Calibri"/>
                <w:color w:val="000000"/>
                <w:sz w:val="18"/>
                <w:szCs w:val="18"/>
              </w:rPr>
              <w:t>140%</w:t>
            </w:r>
          </w:p>
        </w:tc>
        <w:tc>
          <w:tcPr>
            <w:tcW w:w="1088" w:type="dxa"/>
            <w:tcBorders>
              <w:top w:val="nil"/>
              <w:left w:val="nil"/>
              <w:bottom w:val="nil"/>
              <w:right w:val="nil"/>
            </w:tcBorders>
            <w:shd w:val="clear" w:color="auto" w:fill="auto"/>
            <w:noWrap/>
            <w:vAlign w:val="center"/>
            <w:hideMark/>
          </w:tcPr>
          <w:p w14:paraId="2CA41BE1" w14:textId="77777777" w:rsidR="00C40494" w:rsidRPr="007337C6" w:rsidRDefault="00C40494" w:rsidP="00B2600C">
            <w:pPr>
              <w:spacing w:after="0" w:line="240" w:lineRule="auto"/>
              <w:jc w:val="right"/>
              <w:rPr>
                <w:rFonts w:ascii="Trebuchet MS" w:eastAsia="Times New Roman" w:hAnsi="Trebuchet MS" w:cs="Times New Roman"/>
                <w:color w:val="000000"/>
                <w:sz w:val="18"/>
                <w:szCs w:val="18"/>
                <w:lang w:eastAsia="en-GB"/>
              </w:rPr>
            </w:pPr>
            <w:r w:rsidRPr="007337C6">
              <w:rPr>
                <w:rFonts w:ascii="Trebuchet MS" w:hAnsi="Trebuchet MS" w:cs="Calibri"/>
                <w:color w:val="000000"/>
                <w:sz w:val="18"/>
                <w:szCs w:val="18"/>
              </w:rPr>
              <w:t>140%</w:t>
            </w:r>
          </w:p>
        </w:tc>
      </w:tr>
    </w:tbl>
    <w:p w14:paraId="1583965A" w14:textId="77777777" w:rsidR="00C40494" w:rsidRPr="00ED58A9" w:rsidRDefault="00C40494" w:rsidP="00ED58A9">
      <w:pPr>
        <w:rPr>
          <w:rFonts w:ascii="Trebuchet MS" w:hAnsi="Trebuchet MS" w:cs="Arial"/>
          <w:sz w:val="20"/>
          <w:szCs w:val="20"/>
        </w:rPr>
      </w:pPr>
    </w:p>
    <w:p w14:paraId="56AC201D" w14:textId="53B70F1D" w:rsidR="006870CF" w:rsidRPr="007337C6" w:rsidRDefault="00677F90" w:rsidP="00E71E49">
      <w:pPr>
        <w:pStyle w:val="ListParagraph"/>
        <w:numPr>
          <w:ilvl w:val="0"/>
          <w:numId w:val="27"/>
        </w:numPr>
        <w:rPr>
          <w:rFonts w:ascii="Trebuchet MS" w:hAnsi="Trebuchet MS" w:cs="Arial"/>
          <w:sz w:val="20"/>
          <w:szCs w:val="20"/>
        </w:rPr>
      </w:pPr>
      <w:r w:rsidRPr="007337C6">
        <w:rPr>
          <w:rFonts w:ascii="Trebuchet MS" w:hAnsi="Trebuchet MS" w:cs="Arial"/>
          <w:sz w:val="20"/>
          <w:szCs w:val="20"/>
        </w:rPr>
        <w:t xml:space="preserve">The SCR ratio of AGIL </w:t>
      </w:r>
      <w:r w:rsidR="009D124E" w:rsidRPr="007337C6">
        <w:rPr>
          <w:rFonts w:ascii="Trebuchet MS" w:hAnsi="Trebuchet MS" w:cs="Arial"/>
          <w:sz w:val="20"/>
          <w:szCs w:val="20"/>
        </w:rPr>
        <w:t>is expected to move</w:t>
      </w:r>
      <w:r w:rsidRPr="007337C6">
        <w:rPr>
          <w:rFonts w:ascii="Trebuchet MS" w:hAnsi="Trebuchet MS" w:cs="Arial"/>
          <w:sz w:val="20"/>
          <w:szCs w:val="20"/>
        </w:rPr>
        <w:t xml:space="preserve"> from </w:t>
      </w:r>
      <w:r w:rsidR="00066421" w:rsidRPr="007337C6">
        <w:rPr>
          <w:rFonts w:ascii="Trebuchet MS" w:hAnsi="Trebuchet MS" w:cs="Arial"/>
          <w:sz w:val="20"/>
          <w:szCs w:val="20"/>
        </w:rPr>
        <w:t>143</w:t>
      </w:r>
      <w:r w:rsidRPr="007337C6">
        <w:rPr>
          <w:rFonts w:ascii="Trebuchet MS" w:hAnsi="Trebuchet MS" w:cs="Arial"/>
          <w:sz w:val="20"/>
          <w:szCs w:val="20"/>
        </w:rPr>
        <w:t xml:space="preserve">% pre-transfer to </w:t>
      </w:r>
      <w:r w:rsidR="00066421" w:rsidRPr="007337C6">
        <w:rPr>
          <w:rFonts w:ascii="Trebuchet MS" w:hAnsi="Trebuchet MS" w:cs="Arial"/>
          <w:sz w:val="20"/>
          <w:szCs w:val="20"/>
        </w:rPr>
        <w:t>172</w:t>
      </w:r>
      <w:r w:rsidRPr="007337C6">
        <w:rPr>
          <w:rFonts w:ascii="Trebuchet MS" w:hAnsi="Trebuchet MS" w:cs="Arial"/>
          <w:sz w:val="20"/>
          <w:szCs w:val="20"/>
        </w:rPr>
        <w:t xml:space="preserve">% </w:t>
      </w:r>
      <w:r w:rsidR="007B0679" w:rsidRPr="007337C6">
        <w:rPr>
          <w:rFonts w:ascii="Trebuchet MS" w:hAnsi="Trebuchet MS" w:cs="Arial"/>
          <w:sz w:val="20"/>
          <w:szCs w:val="20"/>
        </w:rPr>
        <w:t>post-</w:t>
      </w:r>
      <w:r w:rsidR="00DD51C1" w:rsidRPr="007337C6">
        <w:rPr>
          <w:rFonts w:ascii="Trebuchet MS" w:hAnsi="Trebuchet MS" w:cs="Arial"/>
          <w:sz w:val="20"/>
          <w:szCs w:val="20"/>
        </w:rPr>
        <w:t>Transfer</w:t>
      </w:r>
      <w:r w:rsidR="00991558" w:rsidRPr="007337C6">
        <w:rPr>
          <w:rFonts w:ascii="Trebuchet MS" w:hAnsi="Trebuchet MS" w:cs="Arial"/>
          <w:sz w:val="20"/>
          <w:szCs w:val="20"/>
        </w:rPr>
        <w:t>. It was 140% pre-transfer and 152% post-Transfer in the initial report.</w:t>
      </w:r>
    </w:p>
    <w:p w14:paraId="7E8B4418" w14:textId="5EC121DE" w:rsidR="00AB0404" w:rsidRPr="007337C6" w:rsidRDefault="00BC3872" w:rsidP="006C5658">
      <w:pPr>
        <w:pStyle w:val="ListParagraph"/>
        <w:numPr>
          <w:ilvl w:val="0"/>
          <w:numId w:val="27"/>
        </w:numPr>
        <w:rPr>
          <w:rFonts w:ascii="Trebuchet MS" w:hAnsi="Trebuchet MS" w:cs="Arial"/>
          <w:sz w:val="20"/>
          <w:szCs w:val="20"/>
        </w:rPr>
      </w:pPr>
      <w:r w:rsidRPr="007337C6">
        <w:rPr>
          <w:rFonts w:ascii="Trebuchet MS" w:hAnsi="Trebuchet MS" w:cs="Arial"/>
          <w:sz w:val="20"/>
          <w:szCs w:val="20"/>
        </w:rPr>
        <w:t xml:space="preserve">The SCR ratio of LGI has moved from </w:t>
      </w:r>
      <w:r w:rsidR="00066421" w:rsidRPr="007337C6">
        <w:rPr>
          <w:rFonts w:ascii="Trebuchet MS" w:hAnsi="Trebuchet MS" w:cs="Arial"/>
          <w:sz w:val="20"/>
          <w:szCs w:val="20"/>
        </w:rPr>
        <w:t>180</w:t>
      </w:r>
      <w:r w:rsidRPr="007337C6">
        <w:rPr>
          <w:rFonts w:ascii="Trebuchet MS" w:hAnsi="Trebuchet MS" w:cs="Arial"/>
          <w:sz w:val="20"/>
          <w:szCs w:val="20"/>
        </w:rPr>
        <w:t xml:space="preserve">% pre-transfer to </w:t>
      </w:r>
      <w:r w:rsidR="00066421" w:rsidRPr="007337C6">
        <w:rPr>
          <w:rFonts w:ascii="Trebuchet MS" w:hAnsi="Trebuchet MS" w:cs="Arial"/>
          <w:sz w:val="20"/>
          <w:szCs w:val="20"/>
        </w:rPr>
        <w:t>2</w:t>
      </w:r>
      <w:r w:rsidR="002304B7">
        <w:rPr>
          <w:rFonts w:ascii="Trebuchet MS" w:hAnsi="Trebuchet MS" w:cs="Arial"/>
          <w:sz w:val="20"/>
          <w:szCs w:val="20"/>
        </w:rPr>
        <w:t>24</w:t>
      </w:r>
      <w:r w:rsidRPr="007337C6">
        <w:rPr>
          <w:rFonts w:ascii="Trebuchet MS" w:hAnsi="Trebuchet MS" w:cs="Arial"/>
          <w:sz w:val="20"/>
          <w:szCs w:val="20"/>
        </w:rPr>
        <w:t xml:space="preserve">% </w:t>
      </w:r>
      <w:r w:rsidR="007B0679" w:rsidRPr="007337C6">
        <w:rPr>
          <w:rFonts w:ascii="Trebuchet MS" w:hAnsi="Trebuchet MS" w:cs="Arial"/>
          <w:sz w:val="20"/>
          <w:szCs w:val="20"/>
        </w:rPr>
        <w:t>post-Transfer</w:t>
      </w:r>
      <w:r w:rsidR="0094053D" w:rsidRPr="007337C6">
        <w:rPr>
          <w:rFonts w:ascii="Trebuchet MS" w:hAnsi="Trebuchet MS" w:cs="Arial"/>
          <w:sz w:val="20"/>
          <w:szCs w:val="20"/>
        </w:rPr>
        <w:t>.</w:t>
      </w:r>
      <w:r w:rsidRPr="007337C6">
        <w:rPr>
          <w:rFonts w:ascii="Trebuchet MS" w:hAnsi="Trebuchet MS" w:cs="Arial"/>
          <w:sz w:val="20"/>
          <w:szCs w:val="20"/>
        </w:rPr>
        <w:t xml:space="preserve"> </w:t>
      </w:r>
      <w:r w:rsidR="008369A3" w:rsidRPr="007337C6">
        <w:rPr>
          <w:rFonts w:ascii="Trebuchet MS" w:hAnsi="Trebuchet MS" w:cs="Arial"/>
          <w:sz w:val="20"/>
          <w:szCs w:val="20"/>
        </w:rPr>
        <w:t>It was 180% pre-transfer and 269% post-Transfer in the initial report.</w:t>
      </w:r>
    </w:p>
    <w:p w14:paraId="6777156C" w14:textId="5CA47458" w:rsidR="00E11750" w:rsidRPr="007337C6" w:rsidRDefault="00066421" w:rsidP="00E11750">
      <w:pPr>
        <w:pStyle w:val="ListParagraph"/>
        <w:numPr>
          <w:ilvl w:val="0"/>
          <w:numId w:val="28"/>
        </w:numPr>
        <w:rPr>
          <w:rFonts w:ascii="Trebuchet MS" w:hAnsi="Trebuchet MS" w:cs="Arial"/>
          <w:sz w:val="20"/>
          <w:szCs w:val="20"/>
        </w:rPr>
      </w:pPr>
      <w:r w:rsidRPr="007337C6">
        <w:rPr>
          <w:rFonts w:ascii="Trebuchet MS" w:hAnsi="Trebuchet MS" w:cs="Arial"/>
          <w:sz w:val="20"/>
          <w:szCs w:val="20"/>
        </w:rPr>
        <w:t>The SCR ratio of AEI</w:t>
      </w:r>
      <w:r w:rsidR="005606C0" w:rsidRPr="007337C6">
        <w:rPr>
          <w:rFonts w:ascii="Trebuchet MS" w:hAnsi="Trebuchet MS" w:cs="Arial"/>
          <w:sz w:val="20"/>
          <w:szCs w:val="20"/>
        </w:rPr>
        <w:t xml:space="preserve"> at YE19 with </w:t>
      </w:r>
      <w:r w:rsidR="005E55C1">
        <w:rPr>
          <w:rFonts w:ascii="Trebuchet MS" w:hAnsi="Trebuchet MS" w:cs="Arial"/>
          <w:sz w:val="20"/>
          <w:szCs w:val="20"/>
        </w:rPr>
        <w:t>COVID-19</w:t>
      </w:r>
      <w:r w:rsidRPr="007337C6">
        <w:rPr>
          <w:rFonts w:ascii="Trebuchet MS" w:hAnsi="Trebuchet MS" w:cs="Arial"/>
          <w:sz w:val="20"/>
          <w:szCs w:val="20"/>
        </w:rPr>
        <w:t xml:space="preserve"> re</w:t>
      </w:r>
      <w:r w:rsidR="005606C0" w:rsidRPr="007337C6">
        <w:rPr>
          <w:rFonts w:ascii="Trebuchet MS" w:hAnsi="Trebuchet MS" w:cs="Arial"/>
          <w:sz w:val="20"/>
          <w:szCs w:val="20"/>
        </w:rPr>
        <w:t xml:space="preserve">mains at </w:t>
      </w:r>
      <w:r w:rsidRPr="007337C6">
        <w:rPr>
          <w:rFonts w:ascii="Trebuchet MS" w:hAnsi="Trebuchet MS" w:cs="Arial"/>
          <w:sz w:val="20"/>
          <w:szCs w:val="20"/>
        </w:rPr>
        <w:t>157%</w:t>
      </w:r>
      <w:r w:rsidR="005606C0" w:rsidRPr="007337C6">
        <w:rPr>
          <w:rFonts w:ascii="Trebuchet MS" w:hAnsi="Trebuchet MS" w:cs="Arial"/>
          <w:sz w:val="20"/>
          <w:szCs w:val="20"/>
        </w:rPr>
        <w:t xml:space="preserve">, the same as at YE19 without </w:t>
      </w:r>
      <w:r w:rsidR="005E55C1">
        <w:rPr>
          <w:rFonts w:ascii="Trebuchet MS" w:hAnsi="Trebuchet MS" w:cs="Arial"/>
          <w:sz w:val="20"/>
          <w:szCs w:val="20"/>
        </w:rPr>
        <w:t>COVID-19</w:t>
      </w:r>
      <w:r w:rsidR="005606C0" w:rsidRPr="007337C6">
        <w:rPr>
          <w:rFonts w:ascii="Trebuchet MS" w:hAnsi="Trebuchet MS" w:cs="Arial"/>
          <w:sz w:val="20"/>
          <w:szCs w:val="20"/>
        </w:rPr>
        <w:t xml:space="preserve"> </w:t>
      </w:r>
      <w:r w:rsidR="00D07639" w:rsidRPr="007337C6">
        <w:rPr>
          <w:rFonts w:ascii="Trebuchet MS" w:hAnsi="Trebuchet MS" w:cs="Arial"/>
          <w:sz w:val="20"/>
          <w:szCs w:val="20"/>
        </w:rPr>
        <w:t xml:space="preserve">because the additional cost of </w:t>
      </w:r>
      <w:r w:rsidR="005E55C1">
        <w:rPr>
          <w:rFonts w:ascii="Trebuchet MS" w:hAnsi="Trebuchet MS" w:cs="Arial"/>
          <w:sz w:val="20"/>
          <w:szCs w:val="20"/>
        </w:rPr>
        <w:t>COVID-19</w:t>
      </w:r>
      <w:r w:rsidR="00D07639" w:rsidRPr="007337C6">
        <w:rPr>
          <w:rFonts w:ascii="Trebuchet MS" w:hAnsi="Trebuchet MS" w:cs="Arial"/>
          <w:sz w:val="20"/>
          <w:szCs w:val="20"/>
        </w:rPr>
        <w:t xml:space="preserve"> has been born</w:t>
      </w:r>
      <w:r w:rsidR="002304B7">
        <w:rPr>
          <w:rFonts w:ascii="Trebuchet MS" w:hAnsi="Trebuchet MS" w:cs="Arial"/>
          <w:sz w:val="20"/>
          <w:szCs w:val="20"/>
        </w:rPr>
        <w:t>e</w:t>
      </w:r>
      <w:r w:rsidR="00D07639" w:rsidRPr="007337C6">
        <w:rPr>
          <w:rFonts w:ascii="Trebuchet MS" w:hAnsi="Trebuchet MS" w:cs="Arial"/>
          <w:sz w:val="20"/>
          <w:szCs w:val="20"/>
        </w:rPr>
        <w:t xml:space="preserve"> by AGIL and LGI</w:t>
      </w:r>
      <w:r w:rsidR="005606C0" w:rsidRPr="007337C6">
        <w:rPr>
          <w:rFonts w:ascii="Trebuchet MS" w:hAnsi="Trebuchet MS" w:cs="Arial"/>
          <w:sz w:val="20"/>
          <w:szCs w:val="20"/>
        </w:rPr>
        <w:t xml:space="preserve">, not AEI. </w:t>
      </w:r>
      <w:r w:rsidR="00DA544F" w:rsidRPr="007337C6">
        <w:rPr>
          <w:rFonts w:ascii="Trebuchet MS" w:hAnsi="Trebuchet MS" w:cs="Arial"/>
          <w:sz w:val="20"/>
          <w:szCs w:val="20"/>
        </w:rPr>
        <w:t xml:space="preserve">AGIL and LGI </w:t>
      </w:r>
      <w:r w:rsidR="005606C0" w:rsidRPr="007337C6">
        <w:rPr>
          <w:rFonts w:ascii="Trebuchet MS" w:hAnsi="Trebuchet MS" w:cs="Arial"/>
          <w:sz w:val="20"/>
          <w:szCs w:val="20"/>
        </w:rPr>
        <w:t>transfer to AEI</w:t>
      </w:r>
      <w:r w:rsidR="00DA544F" w:rsidRPr="007337C6">
        <w:rPr>
          <w:rFonts w:ascii="Trebuchet MS" w:hAnsi="Trebuchet MS" w:cs="Arial"/>
          <w:sz w:val="20"/>
          <w:szCs w:val="20"/>
        </w:rPr>
        <w:t xml:space="preserve"> the asset</w:t>
      </w:r>
      <w:r w:rsidR="005606C0" w:rsidRPr="007337C6">
        <w:rPr>
          <w:rFonts w:ascii="Trebuchet MS" w:hAnsi="Trebuchet MS" w:cs="Arial"/>
          <w:sz w:val="20"/>
          <w:szCs w:val="20"/>
        </w:rPr>
        <w:t>s</w:t>
      </w:r>
      <w:r w:rsidR="00DA544F" w:rsidRPr="007337C6">
        <w:rPr>
          <w:rFonts w:ascii="Trebuchet MS" w:hAnsi="Trebuchet MS" w:cs="Arial"/>
          <w:sz w:val="20"/>
          <w:szCs w:val="20"/>
        </w:rPr>
        <w:t xml:space="preserve"> needed to cover for the increase in the liabilities due to </w:t>
      </w:r>
      <w:r w:rsidR="005E55C1">
        <w:rPr>
          <w:rFonts w:ascii="Trebuchet MS" w:hAnsi="Trebuchet MS" w:cs="Arial"/>
          <w:sz w:val="20"/>
          <w:szCs w:val="20"/>
        </w:rPr>
        <w:t>COVID-19</w:t>
      </w:r>
      <w:r w:rsidR="00DA544F" w:rsidRPr="007337C6">
        <w:rPr>
          <w:rFonts w:ascii="Trebuchet MS" w:hAnsi="Trebuchet MS" w:cs="Arial"/>
          <w:sz w:val="20"/>
          <w:szCs w:val="20"/>
        </w:rPr>
        <w:t xml:space="preserve"> for the Transferring portfolio, thus </w:t>
      </w:r>
      <w:r w:rsidR="005606C0" w:rsidRPr="007337C6">
        <w:rPr>
          <w:rFonts w:ascii="Trebuchet MS" w:hAnsi="Trebuchet MS" w:cs="Arial"/>
          <w:sz w:val="20"/>
          <w:szCs w:val="20"/>
        </w:rPr>
        <w:t xml:space="preserve">ring-fencing </w:t>
      </w:r>
      <w:r w:rsidR="00DA544F" w:rsidRPr="007337C6">
        <w:rPr>
          <w:rFonts w:ascii="Trebuchet MS" w:hAnsi="Trebuchet MS" w:cs="Arial"/>
          <w:sz w:val="20"/>
          <w:szCs w:val="20"/>
        </w:rPr>
        <w:t xml:space="preserve">AEI </w:t>
      </w:r>
      <w:r w:rsidR="005606C0" w:rsidRPr="007337C6">
        <w:rPr>
          <w:rFonts w:ascii="Trebuchet MS" w:hAnsi="Trebuchet MS" w:cs="Arial"/>
          <w:sz w:val="20"/>
          <w:szCs w:val="20"/>
        </w:rPr>
        <w:t xml:space="preserve">from </w:t>
      </w:r>
      <w:r w:rsidR="00F578AA" w:rsidRPr="007337C6">
        <w:rPr>
          <w:rFonts w:ascii="Trebuchet MS" w:hAnsi="Trebuchet MS" w:cs="Arial"/>
          <w:sz w:val="20"/>
          <w:szCs w:val="20"/>
        </w:rPr>
        <w:t xml:space="preserve">the financial impact of </w:t>
      </w:r>
      <w:r w:rsidR="005E55C1">
        <w:rPr>
          <w:rFonts w:ascii="Trebuchet MS" w:hAnsi="Trebuchet MS" w:cs="Arial"/>
          <w:sz w:val="20"/>
          <w:szCs w:val="20"/>
        </w:rPr>
        <w:t>COVID-19</w:t>
      </w:r>
      <w:r w:rsidR="00DA544F" w:rsidRPr="007337C6">
        <w:rPr>
          <w:rFonts w:ascii="Trebuchet MS" w:hAnsi="Trebuchet MS" w:cs="Arial"/>
          <w:sz w:val="20"/>
          <w:szCs w:val="20"/>
        </w:rPr>
        <w:t xml:space="preserve"> </w:t>
      </w:r>
      <w:r w:rsidR="00F578AA" w:rsidRPr="007337C6">
        <w:rPr>
          <w:rFonts w:ascii="Trebuchet MS" w:hAnsi="Trebuchet MS" w:cs="Arial"/>
          <w:sz w:val="20"/>
          <w:szCs w:val="20"/>
        </w:rPr>
        <w:t>on</w:t>
      </w:r>
      <w:r w:rsidR="00DA544F" w:rsidRPr="007337C6">
        <w:rPr>
          <w:rFonts w:ascii="Trebuchet MS" w:hAnsi="Trebuchet MS" w:cs="Arial"/>
          <w:sz w:val="20"/>
          <w:szCs w:val="20"/>
        </w:rPr>
        <w:t xml:space="preserve"> the Transferring portfolio</w:t>
      </w:r>
      <w:r w:rsidR="00F578AA" w:rsidRPr="007337C6">
        <w:rPr>
          <w:rFonts w:ascii="Trebuchet MS" w:hAnsi="Trebuchet MS" w:cs="Arial"/>
          <w:sz w:val="20"/>
          <w:szCs w:val="20"/>
        </w:rPr>
        <w:t>, during the Transfer</w:t>
      </w:r>
      <w:r w:rsidR="00A50E1F" w:rsidRPr="007337C6">
        <w:rPr>
          <w:rFonts w:ascii="Trebuchet MS" w:hAnsi="Trebuchet MS" w:cs="Arial"/>
          <w:sz w:val="20"/>
          <w:szCs w:val="20"/>
        </w:rPr>
        <w:t xml:space="preserve">. </w:t>
      </w:r>
      <w:r w:rsidR="00E11750" w:rsidRPr="007337C6">
        <w:rPr>
          <w:rFonts w:ascii="Trebuchet MS" w:hAnsi="Trebuchet MS" w:cs="Arial"/>
          <w:sz w:val="20"/>
          <w:szCs w:val="20"/>
        </w:rPr>
        <w:t xml:space="preserve">This demonstrate that the current planned level of capitalisation of </w:t>
      </w:r>
      <w:r w:rsidR="00294FFD" w:rsidRPr="007337C6">
        <w:rPr>
          <w:rFonts w:ascii="Trebuchet MS" w:hAnsi="Trebuchet MS" w:cs="Arial"/>
          <w:sz w:val="20"/>
          <w:szCs w:val="20"/>
        </w:rPr>
        <w:t xml:space="preserve">AGIL, LGI and </w:t>
      </w:r>
      <w:r w:rsidR="00E11750" w:rsidRPr="007337C6">
        <w:rPr>
          <w:rFonts w:ascii="Trebuchet MS" w:hAnsi="Trebuchet MS" w:cs="Arial"/>
          <w:sz w:val="20"/>
          <w:szCs w:val="20"/>
        </w:rPr>
        <w:t xml:space="preserve">AEI is </w:t>
      </w:r>
      <w:r w:rsidR="00E11750" w:rsidRPr="007337C6">
        <w:rPr>
          <w:rFonts w:ascii="Trebuchet MS" w:hAnsi="Trebuchet MS" w:cs="Arial"/>
          <w:sz w:val="20"/>
          <w:szCs w:val="20"/>
        </w:rPr>
        <w:lastRenderedPageBreak/>
        <w:t xml:space="preserve">enough to absorb the impact of </w:t>
      </w:r>
      <w:r w:rsidR="005E55C1">
        <w:rPr>
          <w:rFonts w:ascii="Trebuchet MS" w:hAnsi="Trebuchet MS" w:cs="Arial"/>
          <w:sz w:val="20"/>
          <w:szCs w:val="20"/>
        </w:rPr>
        <w:t>COVID-19</w:t>
      </w:r>
      <w:r w:rsidR="00E11750" w:rsidRPr="007337C6">
        <w:rPr>
          <w:rFonts w:ascii="Trebuchet MS" w:hAnsi="Trebuchet MS" w:cs="Arial"/>
          <w:sz w:val="20"/>
          <w:szCs w:val="20"/>
        </w:rPr>
        <w:t xml:space="preserve"> and there will still be a large buffer left above the </w:t>
      </w:r>
      <w:r w:rsidR="005606C0" w:rsidRPr="007337C6">
        <w:rPr>
          <w:rFonts w:ascii="Trebuchet MS" w:hAnsi="Trebuchet MS" w:cs="Arial"/>
          <w:sz w:val="20"/>
          <w:szCs w:val="20"/>
        </w:rPr>
        <w:t xml:space="preserve">target </w:t>
      </w:r>
      <w:r w:rsidR="00E11750" w:rsidRPr="007337C6">
        <w:rPr>
          <w:rFonts w:ascii="Trebuchet MS" w:hAnsi="Trebuchet MS" w:cs="Arial"/>
          <w:sz w:val="20"/>
          <w:szCs w:val="20"/>
        </w:rPr>
        <w:t>140% SCR ratio</w:t>
      </w:r>
      <w:r w:rsidR="00294FFD" w:rsidRPr="007337C6">
        <w:rPr>
          <w:rFonts w:ascii="Trebuchet MS" w:hAnsi="Trebuchet MS" w:cs="Arial"/>
          <w:sz w:val="20"/>
          <w:szCs w:val="20"/>
        </w:rPr>
        <w:t xml:space="preserve"> for AEI</w:t>
      </w:r>
      <w:r w:rsidR="00E11750" w:rsidRPr="007337C6">
        <w:rPr>
          <w:rFonts w:ascii="Trebuchet MS" w:hAnsi="Trebuchet MS" w:cs="Arial"/>
          <w:sz w:val="20"/>
          <w:szCs w:val="20"/>
        </w:rPr>
        <w:t xml:space="preserve">. </w:t>
      </w:r>
    </w:p>
    <w:p w14:paraId="0BD3F084" w14:textId="1DEA0ACD" w:rsidR="00F7441A" w:rsidRPr="007337C6" w:rsidRDefault="0073670A" w:rsidP="00F7441A">
      <w:pPr>
        <w:rPr>
          <w:rFonts w:ascii="Trebuchet MS" w:hAnsi="Trebuchet MS" w:cs="Arial"/>
          <w:b/>
          <w:bCs/>
          <w:sz w:val="20"/>
          <w:szCs w:val="20"/>
          <w:u w:val="single"/>
        </w:rPr>
      </w:pPr>
      <w:r w:rsidRPr="007337C6">
        <w:rPr>
          <w:rFonts w:ascii="Trebuchet MS" w:hAnsi="Trebuchet MS" w:cs="Arial"/>
          <w:b/>
          <w:bCs/>
          <w:sz w:val="20"/>
          <w:szCs w:val="20"/>
          <w:u w:val="single"/>
        </w:rPr>
        <w:t>Conclusion</w:t>
      </w:r>
    </w:p>
    <w:p w14:paraId="6FB5D85B" w14:textId="03055BAB" w:rsidR="0044571A" w:rsidRPr="007337C6" w:rsidRDefault="0044571A" w:rsidP="00F7441A">
      <w:pPr>
        <w:rPr>
          <w:rFonts w:ascii="Trebuchet MS" w:hAnsi="Trebuchet MS" w:cs="Arial"/>
          <w:sz w:val="20"/>
          <w:szCs w:val="20"/>
        </w:rPr>
      </w:pPr>
      <w:bookmarkStart w:id="74" w:name="_Hlk38877109"/>
      <w:r w:rsidRPr="007337C6">
        <w:rPr>
          <w:rFonts w:ascii="Trebuchet MS" w:hAnsi="Trebuchet MS" w:cs="Arial"/>
          <w:sz w:val="20"/>
          <w:szCs w:val="20"/>
        </w:rPr>
        <w:t xml:space="preserve">When the impact of </w:t>
      </w:r>
      <w:r w:rsidR="005E55C1">
        <w:rPr>
          <w:rFonts w:ascii="Trebuchet MS" w:hAnsi="Trebuchet MS" w:cs="Arial"/>
          <w:sz w:val="20"/>
          <w:szCs w:val="20"/>
        </w:rPr>
        <w:t>COVID-19</w:t>
      </w:r>
      <w:r w:rsidRPr="007337C6">
        <w:rPr>
          <w:rFonts w:ascii="Trebuchet MS" w:hAnsi="Trebuchet MS" w:cs="Arial"/>
          <w:sz w:val="20"/>
          <w:szCs w:val="20"/>
        </w:rPr>
        <w:t xml:space="preserve"> is allowed for, the SCR ratios of LGI, AGIL and AEI remain high, above the capital buffers for each of these companies before and after </w:t>
      </w:r>
      <w:r w:rsidR="00C407B1" w:rsidRPr="007337C6">
        <w:rPr>
          <w:rFonts w:ascii="Trebuchet MS" w:hAnsi="Trebuchet MS" w:cs="Arial"/>
          <w:sz w:val="20"/>
          <w:szCs w:val="20"/>
        </w:rPr>
        <w:t>the Transfer</w:t>
      </w:r>
      <w:r w:rsidRPr="007337C6">
        <w:rPr>
          <w:rFonts w:ascii="Trebuchet MS" w:hAnsi="Trebuchet MS" w:cs="Arial"/>
          <w:sz w:val="20"/>
          <w:szCs w:val="20"/>
        </w:rPr>
        <w:t>. The SCR ratio of AEI post Scheme is 1</w:t>
      </w:r>
      <w:r w:rsidR="007F5BF8" w:rsidRPr="007337C6">
        <w:rPr>
          <w:rFonts w:ascii="Trebuchet MS" w:hAnsi="Trebuchet MS" w:cs="Arial"/>
          <w:sz w:val="20"/>
          <w:szCs w:val="20"/>
        </w:rPr>
        <w:t>5</w:t>
      </w:r>
      <w:r w:rsidR="009459C4" w:rsidRPr="007337C6">
        <w:rPr>
          <w:rFonts w:ascii="Trebuchet MS" w:hAnsi="Trebuchet MS" w:cs="Arial"/>
          <w:sz w:val="20"/>
          <w:szCs w:val="20"/>
        </w:rPr>
        <w:t>7</w:t>
      </w:r>
      <w:r w:rsidRPr="007337C6">
        <w:rPr>
          <w:rFonts w:ascii="Trebuchet MS" w:hAnsi="Trebuchet MS" w:cs="Arial"/>
          <w:sz w:val="20"/>
          <w:szCs w:val="20"/>
        </w:rPr>
        <w:t>% w</w:t>
      </w:r>
      <w:r w:rsidR="005606C0" w:rsidRPr="007337C6">
        <w:rPr>
          <w:rFonts w:ascii="Trebuchet MS" w:hAnsi="Trebuchet MS" w:cs="Arial"/>
          <w:sz w:val="20"/>
          <w:szCs w:val="20"/>
        </w:rPr>
        <w:t xml:space="preserve">hich is the same as without </w:t>
      </w:r>
      <w:r w:rsidR="005E55C1">
        <w:rPr>
          <w:rFonts w:ascii="Trebuchet MS" w:hAnsi="Trebuchet MS" w:cs="Arial"/>
          <w:sz w:val="20"/>
          <w:szCs w:val="20"/>
        </w:rPr>
        <w:t>COVID-19</w:t>
      </w:r>
      <w:r w:rsidR="005606C0" w:rsidRPr="007337C6">
        <w:rPr>
          <w:rFonts w:ascii="Trebuchet MS" w:hAnsi="Trebuchet MS" w:cs="Arial"/>
          <w:sz w:val="20"/>
          <w:szCs w:val="20"/>
        </w:rPr>
        <w:t xml:space="preserve"> impact as the transferors </w:t>
      </w:r>
      <w:r w:rsidR="00590AF1" w:rsidRPr="007337C6">
        <w:rPr>
          <w:rFonts w:ascii="Trebuchet MS" w:hAnsi="Trebuchet MS" w:cs="Arial"/>
          <w:sz w:val="20"/>
          <w:szCs w:val="20"/>
        </w:rPr>
        <w:t xml:space="preserve">absorb the impact of </w:t>
      </w:r>
      <w:r w:rsidR="005E55C1">
        <w:rPr>
          <w:rFonts w:ascii="Trebuchet MS" w:hAnsi="Trebuchet MS" w:cs="Arial"/>
          <w:sz w:val="20"/>
          <w:szCs w:val="20"/>
        </w:rPr>
        <w:t>COVID-19</w:t>
      </w:r>
      <w:r w:rsidR="00590AF1" w:rsidRPr="007337C6">
        <w:rPr>
          <w:rFonts w:ascii="Trebuchet MS" w:hAnsi="Trebuchet MS" w:cs="Arial"/>
          <w:sz w:val="20"/>
          <w:szCs w:val="20"/>
        </w:rPr>
        <w:t xml:space="preserve">; thus, protecting the transferring portfolio from the impact of </w:t>
      </w:r>
      <w:r w:rsidR="005E55C1">
        <w:rPr>
          <w:rFonts w:ascii="Trebuchet MS" w:hAnsi="Trebuchet MS" w:cs="Arial"/>
          <w:sz w:val="20"/>
          <w:szCs w:val="20"/>
        </w:rPr>
        <w:t>COVID-19</w:t>
      </w:r>
      <w:r w:rsidRPr="007337C6">
        <w:rPr>
          <w:rFonts w:ascii="Trebuchet MS" w:hAnsi="Trebuchet MS" w:cs="Arial"/>
          <w:sz w:val="20"/>
          <w:szCs w:val="20"/>
        </w:rPr>
        <w:t xml:space="preserve">. As a conclusion, we can say that </w:t>
      </w:r>
      <w:r w:rsidR="00C407B1" w:rsidRPr="007337C6">
        <w:rPr>
          <w:rFonts w:ascii="Trebuchet MS" w:hAnsi="Trebuchet MS" w:cs="Arial"/>
          <w:sz w:val="20"/>
          <w:szCs w:val="20"/>
        </w:rPr>
        <w:t xml:space="preserve">the </w:t>
      </w:r>
      <w:r w:rsidR="00E11750" w:rsidRPr="007337C6">
        <w:rPr>
          <w:rFonts w:ascii="Trebuchet MS" w:hAnsi="Trebuchet MS" w:cs="Arial"/>
          <w:sz w:val="20"/>
          <w:szCs w:val="20"/>
        </w:rPr>
        <w:t xml:space="preserve">“as-if” </w:t>
      </w:r>
      <w:r w:rsidR="00C407B1" w:rsidRPr="007337C6">
        <w:rPr>
          <w:rFonts w:ascii="Trebuchet MS" w:hAnsi="Trebuchet MS" w:cs="Arial"/>
          <w:sz w:val="20"/>
          <w:szCs w:val="20"/>
        </w:rPr>
        <w:t>Transfer</w:t>
      </w:r>
      <w:r w:rsidRPr="007337C6">
        <w:rPr>
          <w:rFonts w:ascii="Trebuchet MS" w:hAnsi="Trebuchet MS" w:cs="Arial"/>
          <w:sz w:val="20"/>
          <w:szCs w:val="20"/>
        </w:rPr>
        <w:t xml:space="preserve"> is fully resilient to </w:t>
      </w:r>
      <w:r w:rsidR="005E55C1">
        <w:rPr>
          <w:rFonts w:ascii="Trebuchet MS" w:hAnsi="Trebuchet MS" w:cs="Arial"/>
          <w:sz w:val="20"/>
          <w:szCs w:val="20"/>
        </w:rPr>
        <w:t>COVID-19</w:t>
      </w:r>
      <w:r w:rsidRPr="007337C6">
        <w:rPr>
          <w:rFonts w:ascii="Trebuchet MS" w:hAnsi="Trebuchet MS" w:cs="Arial"/>
          <w:sz w:val="20"/>
          <w:szCs w:val="20"/>
        </w:rPr>
        <w:t xml:space="preserve"> risk</w:t>
      </w:r>
      <w:r w:rsidR="00A241F6" w:rsidRPr="007337C6">
        <w:rPr>
          <w:rFonts w:ascii="Trebuchet MS" w:hAnsi="Trebuchet MS" w:cs="Arial"/>
          <w:sz w:val="20"/>
          <w:szCs w:val="20"/>
        </w:rPr>
        <w:t xml:space="preserve"> as the companies remain above their capital buffers</w:t>
      </w:r>
      <w:r w:rsidRPr="007337C6">
        <w:rPr>
          <w:rFonts w:ascii="Trebuchet MS" w:hAnsi="Trebuchet MS" w:cs="Arial"/>
          <w:sz w:val="20"/>
          <w:szCs w:val="20"/>
        </w:rPr>
        <w:t>.</w:t>
      </w:r>
    </w:p>
    <w:p w14:paraId="11FF7229" w14:textId="1B022E85" w:rsidR="00C47F01" w:rsidRPr="007337C6" w:rsidRDefault="00C47F01" w:rsidP="00F7441A">
      <w:pPr>
        <w:rPr>
          <w:rFonts w:ascii="Trebuchet MS" w:hAnsi="Trebuchet MS" w:cs="Arial"/>
          <w:sz w:val="20"/>
          <w:szCs w:val="20"/>
        </w:rPr>
      </w:pPr>
    </w:p>
    <w:p w14:paraId="3DBF5B04" w14:textId="7F9A5B8D" w:rsidR="00C47F01" w:rsidRPr="007337C6" w:rsidRDefault="00C47F01" w:rsidP="00C47F01">
      <w:pPr>
        <w:pStyle w:val="Heading1"/>
        <w:numPr>
          <w:ilvl w:val="2"/>
          <w:numId w:val="1"/>
        </w:numPr>
        <w:rPr>
          <w:color w:val="0070C0"/>
        </w:rPr>
      </w:pPr>
      <w:bookmarkStart w:id="75" w:name="_Toc52451879"/>
      <w:r w:rsidRPr="007337C6">
        <w:rPr>
          <w:color w:val="0070C0"/>
        </w:rPr>
        <w:t>2Q20 position</w:t>
      </w:r>
      <w:r w:rsidR="00457F7B" w:rsidRPr="007337C6">
        <w:rPr>
          <w:color w:val="0070C0"/>
        </w:rPr>
        <w:t xml:space="preserve"> (with </w:t>
      </w:r>
      <w:r w:rsidR="005E55C1">
        <w:rPr>
          <w:color w:val="0070C0"/>
        </w:rPr>
        <w:t>COVID-19</w:t>
      </w:r>
      <w:r w:rsidR="00457F7B" w:rsidRPr="007337C6">
        <w:rPr>
          <w:color w:val="0070C0"/>
        </w:rPr>
        <w:t>)</w:t>
      </w:r>
      <w:bookmarkEnd w:id="75"/>
    </w:p>
    <w:bookmarkEnd w:id="74"/>
    <w:p w14:paraId="372C6D78" w14:textId="5777592E" w:rsidR="009F1084" w:rsidRPr="007337C6" w:rsidRDefault="00457F7B" w:rsidP="009F1084">
      <w:pPr>
        <w:rPr>
          <w:rFonts w:ascii="Trebuchet MS" w:hAnsi="Trebuchet MS" w:cs="Arial"/>
          <w:sz w:val="20"/>
          <w:szCs w:val="20"/>
        </w:rPr>
      </w:pPr>
      <w:r w:rsidRPr="007337C6">
        <w:rPr>
          <w:rFonts w:ascii="Trebuchet MS" w:hAnsi="Trebuchet MS" w:cs="Arial"/>
          <w:sz w:val="20"/>
          <w:szCs w:val="20"/>
        </w:rPr>
        <w:t>The Transfer has been assessed on a</w:t>
      </w:r>
      <w:r w:rsidR="00682F1B">
        <w:rPr>
          <w:rFonts w:ascii="Trebuchet MS" w:hAnsi="Trebuchet MS" w:cs="Arial"/>
          <w:sz w:val="20"/>
          <w:szCs w:val="20"/>
        </w:rPr>
        <w:t>n “</w:t>
      </w:r>
      <w:r w:rsidRPr="007337C6">
        <w:rPr>
          <w:rFonts w:ascii="Trebuchet MS" w:hAnsi="Trebuchet MS" w:cs="Arial"/>
          <w:sz w:val="20"/>
          <w:szCs w:val="20"/>
        </w:rPr>
        <w:t>as</w:t>
      </w:r>
      <w:r w:rsidR="00682F1B">
        <w:rPr>
          <w:rFonts w:ascii="Trebuchet MS" w:hAnsi="Trebuchet MS" w:cs="Arial"/>
          <w:sz w:val="20"/>
          <w:szCs w:val="20"/>
        </w:rPr>
        <w:t>-</w:t>
      </w:r>
      <w:r w:rsidRPr="007337C6">
        <w:rPr>
          <w:rFonts w:ascii="Trebuchet MS" w:hAnsi="Trebuchet MS" w:cs="Arial"/>
          <w:sz w:val="20"/>
          <w:szCs w:val="20"/>
        </w:rPr>
        <w:t>if</w:t>
      </w:r>
      <w:r w:rsidR="00682F1B">
        <w:rPr>
          <w:rFonts w:ascii="Trebuchet MS" w:hAnsi="Trebuchet MS" w:cs="Arial"/>
          <w:sz w:val="20"/>
          <w:szCs w:val="20"/>
        </w:rPr>
        <w:t>”</w:t>
      </w:r>
      <w:r w:rsidRPr="007337C6">
        <w:rPr>
          <w:rFonts w:ascii="Trebuchet MS" w:hAnsi="Trebuchet MS" w:cs="Arial"/>
          <w:sz w:val="20"/>
          <w:szCs w:val="20"/>
        </w:rPr>
        <w:t xml:space="preserve"> basis as at 2Q20 </w:t>
      </w:r>
      <w:r w:rsidR="00995EC8" w:rsidRPr="007337C6">
        <w:rPr>
          <w:rFonts w:ascii="Trebuchet MS" w:hAnsi="Trebuchet MS" w:cs="Arial"/>
          <w:sz w:val="20"/>
          <w:szCs w:val="20"/>
        </w:rPr>
        <w:t xml:space="preserve">using the actual half-year results </w:t>
      </w:r>
      <w:r w:rsidRPr="007337C6">
        <w:rPr>
          <w:rFonts w:ascii="Trebuchet MS" w:hAnsi="Trebuchet MS" w:cs="Arial"/>
          <w:sz w:val="20"/>
          <w:szCs w:val="20"/>
        </w:rPr>
        <w:t>and the solvency ratios of the transferors and the transferee, pre- and post-transfer are as follows in the table below.</w:t>
      </w:r>
      <w:r w:rsidR="00995EC8" w:rsidRPr="007337C6">
        <w:rPr>
          <w:rFonts w:ascii="Trebuchet MS" w:hAnsi="Trebuchet MS" w:cs="Arial"/>
          <w:sz w:val="20"/>
          <w:szCs w:val="20"/>
        </w:rPr>
        <w:t xml:space="preserve"> Note that the 2Q20 view includes the impact of </w:t>
      </w:r>
      <w:r w:rsidR="005E55C1">
        <w:rPr>
          <w:rFonts w:ascii="Trebuchet MS" w:hAnsi="Trebuchet MS" w:cs="Arial"/>
          <w:sz w:val="20"/>
          <w:szCs w:val="20"/>
        </w:rPr>
        <w:t>COVID-19</w:t>
      </w:r>
      <w:r w:rsidR="00995EC8" w:rsidRPr="007337C6">
        <w:rPr>
          <w:rFonts w:ascii="Trebuchet MS" w:hAnsi="Trebuchet MS" w:cs="Arial"/>
          <w:sz w:val="20"/>
          <w:szCs w:val="20"/>
        </w:rPr>
        <w:t>.</w:t>
      </w:r>
    </w:p>
    <w:tbl>
      <w:tblPr>
        <w:tblW w:w="10601" w:type="dxa"/>
        <w:tblLook w:val="04A0" w:firstRow="1" w:lastRow="0" w:firstColumn="1" w:lastColumn="0" w:noHBand="0" w:noVBand="1"/>
      </w:tblPr>
      <w:tblGrid>
        <w:gridCol w:w="903"/>
        <w:gridCol w:w="1812"/>
        <w:gridCol w:w="1086"/>
        <w:gridCol w:w="224"/>
        <w:gridCol w:w="715"/>
        <w:gridCol w:w="1379"/>
        <w:gridCol w:w="1086"/>
        <w:gridCol w:w="224"/>
        <w:gridCol w:w="715"/>
        <w:gridCol w:w="1321"/>
        <w:gridCol w:w="1136"/>
      </w:tblGrid>
      <w:tr w:rsidR="00457F7B" w:rsidRPr="00C96AB6" w14:paraId="01EA5861" w14:textId="77777777" w:rsidTr="003C27AC">
        <w:trPr>
          <w:trHeight w:val="237"/>
        </w:trPr>
        <w:tc>
          <w:tcPr>
            <w:tcW w:w="2715" w:type="dxa"/>
            <w:gridSpan w:val="2"/>
            <w:tcBorders>
              <w:top w:val="nil"/>
              <w:left w:val="nil"/>
              <w:bottom w:val="nil"/>
              <w:right w:val="nil"/>
            </w:tcBorders>
            <w:shd w:val="clear" w:color="000000" w:fill="44546A"/>
            <w:noWrap/>
            <w:vAlign w:val="bottom"/>
            <w:hideMark/>
          </w:tcPr>
          <w:p w14:paraId="169455F2" w14:textId="18A527EF" w:rsidR="00457F7B" w:rsidRPr="003C27AC" w:rsidRDefault="00457F7B" w:rsidP="00457F7B">
            <w:pPr>
              <w:spacing w:after="0" w:line="240" w:lineRule="auto"/>
              <w:rPr>
                <w:rFonts w:ascii="Trebuchet MS" w:eastAsia="Times New Roman" w:hAnsi="Trebuchet MS" w:cs="Calibri"/>
                <w:b/>
                <w:bCs/>
                <w:color w:val="FFFFFF"/>
                <w:sz w:val="18"/>
                <w:szCs w:val="18"/>
                <w:lang w:eastAsia="en-GB"/>
              </w:rPr>
            </w:pPr>
            <w:r w:rsidRPr="003C27AC">
              <w:rPr>
                <w:rFonts w:ascii="Trebuchet MS" w:eastAsia="Times New Roman" w:hAnsi="Trebuchet MS" w:cs="Calibri"/>
                <w:b/>
                <w:bCs/>
                <w:color w:val="FFFFFF"/>
                <w:sz w:val="18"/>
                <w:szCs w:val="18"/>
                <w:lang w:eastAsia="en-GB"/>
              </w:rPr>
              <w:t xml:space="preserve">2Q 20 With </w:t>
            </w:r>
            <w:r w:rsidR="005E55C1">
              <w:rPr>
                <w:rFonts w:ascii="Trebuchet MS" w:eastAsia="Times New Roman" w:hAnsi="Trebuchet MS" w:cs="Calibri"/>
                <w:b/>
                <w:bCs/>
                <w:color w:val="FFFFFF"/>
                <w:sz w:val="18"/>
                <w:szCs w:val="18"/>
                <w:lang w:eastAsia="en-GB"/>
              </w:rPr>
              <w:t>COVID-19</w:t>
            </w:r>
          </w:p>
        </w:tc>
        <w:tc>
          <w:tcPr>
            <w:tcW w:w="1086" w:type="dxa"/>
            <w:tcBorders>
              <w:top w:val="nil"/>
              <w:left w:val="nil"/>
              <w:bottom w:val="nil"/>
              <w:right w:val="nil"/>
            </w:tcBorders>
            <w:shd w:val="clear" w:color="000000" w:fill="44546A"/>
            <w:noWrap/>
            <w:vAlign w:val="bottom"/>
            <w:hideMark/>
          </w:tcPr>
          <w:p w14:paraId="53B1D1CC" w14:textId="77777777" w:rsidR="00457F7B" w:rsidRPr="003C27AC" w:rsidRDefault="00457F7B" w:rsidP="00457F7B">
            <w:pPr>
              <w:spacing w:after="0" w:line="240" w:lineRule="auto"/>
              <w:rPr>
                <w:rFonts w:ascii="Trebuchet MS" w:eastAsia="Times New Roman" w:hAnsi="Trebuchet MS" w:cs="Calibri"/>
                <w:color w:val="FFFFFF"/>
                <w:sz w:val="18"/>
                <w:szCs w:val="18"/>
                <w:lang w:eastAsia="en-GB"/>
              </w:rPr>
            </w:pPr>
            <w:r w:rsidRPr="003C27AC">
              <w:rPr>
                <w:rFonts w:ascii="Trebuchet MS" w:eastAsia="Times New Roman" w:hAnsi="Trebuchet MS" w:cs="Calibri"/>
                <w:color w:val="FFFFFF"/>
                <w:sz w:val="18"/>
                <w:szCs w:val="18"/>
                <w:lang w:eastAsia="en-GB"/>
              </w:rPr>
              <w:t> </w:t>
            </w:r>
          </w:p>
        </w:tc>
        <w:tc>
          <w:tcPr>
            <w:tcW w:w="224" w:type="dxa"/>
            <w:tcBorders>
              <w:top w:val="nil"/>
              <w:left w:val="nil"/>
              <w:bottom w:val="nil"/>
              <w:right w:val="nil"/>
            </w:tcBorders>
            <w:shd w:val="clear" w:color="auto" w:fill="auto"/>
            <w:noWrap/>
            <w:vAlign w:val="bottom"/>
            <w:hideMark/>
          </w:tcPr>
          <w:p w14:paraId="67CA5161" w14:textId="77777777" w:rsidR="00457F7B" w:rsidRPr="003C27AC" w:rsidRDefault="00457F7B" w:rsidP="00457F7B">
            <w:pPr>
              <w:spacing w:after="0" w:line="240" w:lineRule="auto"/>
              <w:rPr>
                <w:rFonts w:ascii="Trebuchet MS" w:eastAsia="Times New Roman" w:hAnsi="Trebuchet MS" w:cs="Calibri"/>
                <w:color w:val="FFFFFF"/>
                <w:sz w:val="18"/>
                <w:szCs w:val="18"/>
                <w:lang w:eastAsia="en-GB"/>
              </w:rPr>
            </w:pPr>
          </w:p>
        </w:tc>
        <w:tc>
          <w:tcPr>
            <w:tcW w:w="2094" w:type="dxa"/>
            <w:gridSpan w:val="2"/>
            <w:tcBorders>
              <w:top w:val="nil"/>
              <w:left w:val="nil"/>
              <w:bottom w:val="nil"/>
              <w:right w:val="nil"/>
            </w:tcBorders>
            <w:shd w:val="clear" w:color="000000" w:fill="44546A"/>
            <w:noWrap/>
            <w:vAlign w:val="bottom"/>
            <w:hideMark/>
          </w:tcPr>
          <w:p w14:paraId="57A0E103" w14:textId="12F9B6B9" w:rsidR="00457F7B" w:rsidRPr="003C27AC" w:rsidRDefault="00457F7B" w:rsidP="00457F7B">
            <w:pPr>
              <w:spacing w:after="0" w:line="240" w:lineRule="auto"/>
              <w:rPr>
                <w:rFonts w:ascii="Trebuchet MS" w:eastAsia="Times New Roman" w:hAnsi="Trebuchet MS" w:cs="Calibri"/>
                <w:b/>
                <w:bCs/>
                <w:color w:val="FFFFFF"/>
                <w:sz w:val="18"/>
                <w:szCs w:val="18"/>
                <w:lang w:eastAsia="en-GB"/>
              </w:rPr>
            </w:pPr>
            <w:r w:rsidRPr="003C27AC">
              <w:rPr>
                <w:rFonts w:ascii="Trebuchet MS" w:eastAsia="Times New Roman" w:hAnsi="Trebuchet MS" w:cs="Calibri"/>
                <w:b/>
                <w:bCs/>
                <w:color w:val="FFFFFF"/>
                <w:sz w:val="18"/>
                <w:szCs w:val="18"/>
                <w:lang w:eastAsia="en-GB"/>
              </w:rPr>
              <w:t xml:space="preserve">2Q 20 With </w:t>
            </w:r>
            <w:r w:rsidR="005E55C1">
              <w:rPr>
                <w:rFonts w:ascii="Trebuchet MS" w:eastAsia="Times New Roman" w:hAnsi="Trebuchet MS" w:cs="Calibri"/>
                <w:b/>
                <w:bCs/>
                <w:color w:val="FFFFFF"/>
                <w:sz w:val="18"/>
                <w:szCs w:val="18"/>
                <w:lang w:eastAsia="en-GB"/>
              </w:rPr>
              <w:t>COVID-19</w:t>
            </w:r>
          </w:p>
        </w:tc>
        <w:tc>
          <w:tcPr>
            <w:tcW w:w="1086" w:type="dxa"/>
            <w:tcBorders>
              <w:top w:val="nil"/>
              <w:left w:val="nil"/>
              <w:bottom w:val="nil"/>
              <w:right w:val="nil"/>
            </w:tcBorders>
            <w:shd w:val="clear" w:color="000000" w:fill="44546A"/>
            <w:noWrap/>
            <w:vAlign w:val="bottom"/>
            <w:hideMark/>
          </w:tcPr>
          <w:p w14:paraId="51E503B6" w14:textId="77777777" w:rsidR="00457F7B" w:rsidRPr="003C27AC" w:rsidRDefault="00457F7B" w:rsidP="00457F7B">
            <w:pPr>
              <w:spacing w:after="0" w:line="240" w:lineRule="auto"/>
              <w:rPr>
                <w:rFonts w:ascii="Trebuchet MS" w:eastAsia="Times New Roman" w:hAnsi="Trebuchet MS" w:cs="Calibri"/>
                <w:color w:val="FFFFFF"/>
                <w:sz w:val="18"/>
                <w:szCs w:val="18"/>
                <w:lang w:eastAsia="en-GB"/>
              </w:rPr>
            </w:pPr>
            <w:r w:rsidRPr="003C27AC">
              <w:rPr>
                <w:rFonts w:ascii="Trebuchet MS" w:eastAsia="Times New Roman" w:hAnsi="Trebuchet MS" w:cs="Calibri"/>
                <w:color w:val="FFFFFF"/>
                <w:sz w:val="18"/>
                <w:szCs w:val="18"/>
                <w:lang w:eastAsia="en-GB"/>
              </w:rPr>
              <w:t> </w:t>
            </w:r>
          </w:p>
        </w:tc>
        <w:tc>
          <w:tcPr>
            <w:tcW w:w="224" w:type="dxa"/>
            <w:tcBorders>
              <w:top w:val="nil"/>
              <w:left w:val="nil"/>
              <w:bottom w:val="nil"/>
              <w:right w:val="nil"/>
            </w:tcBorders>
            <w:shd w:val="clear" w:color="auto" w:fill="auto"/>
            <w:noWrap/>
            <w:vAlign w:val="bottom"/>
            <w:hideMark/>
          </w:tcPr>
          <w:p w14:paraId="59CC2BDE" w14:textId="77777777" w:rsidR="00457F7B" w:rsidRPr="003C27AC" w:rsidRDefault="00457F7B" w:rsidP="00457F7B">
            <w:pPr>
              <w:spacing w:after="0" w:line="240" w:lineRule="auto"/>
              <w:rPr>
                <w:rFonts w:ascii="Trebuchet MS" w:eastAsia="Times New Roman" w:hAnsi="Trebuchet MS" w:cs="Calibri"/>
                <w:color w:val="FFFFFF"/>
                <w:sz w:val="18"/>
                <w:szCs w:val="18"/>
                <w:lang w:eastAsia="en-GB"/>
              </w:rPr>
            </w:pPr>
          </w:p>
        </w:tc>
        <w:tc>
          <w:tcPr>
            <w:tcW w:w="2036" w:type="dxa"/>
            <w:gridSpan w:val="2"/>
            <w:tcBorders>
              <w:top w:val="nil"/>
              <w:left w:val="nil"/>
              <w:bottom w:val="nil"/>
              <w:right w:val="nil"/>
            </w:tcBorders>
            <w:shd w:val="clear" w:color="000000" w:fill="44546A"/>
            <w:noWrap/>
            <w:vAlign w:val="bottom"/>
            <w:hideMark/>
          </w:tcPr>
          <w:p w14:paraId="08BBB9D2" w14:textId="10E381D8" w:rsidR="00457F7B" w:rsidRPr="003C27AC" w:rsidRDefault="00457F7B" w:rsidP="00457F7B">
            <w:pPr>
              <w:spacing w:after="0" w:line="240" w:lineRule="auto"/>
              <w:rPr>
                <w:rFonts w:ascii="Trebuchet MS" w:eastAsia="Times New Roman" w:hAnsi="Trebuchet MS" w:cs="Calibri"/>
                <w:b/>
                <w:bCs/>
                <w:color w:val="FFFFFF"/>
                <w:sz w:val="18"/>
                <w:szCs w:val="18"/>
                <w:lang w:eastAsia="en-GB"/>
              </w:rPr>
            </w:pPr>
            <w:r w:rsidRPr="003C27AC">
              <w:rPr>
                <w:rFonts w:ascii="Trebuchet MS" w:eastAsia="Times New Roman" w:hAnsi="Trebuchet MS" w:cs="Calibri"/>
                <w:b/>
                <w:bCs/>
                <w:color w:val="FFFFFF"/>
                <w:sz w:val="18"/>
                <w:szCs w:val="18"/>
                <w:lang w:eastAsia="en-GB"/>
              </w:rPr>
              <w:t xml:space="preserve">2Q 20 With </w:t>
            </w:r>
            <w:r w:rsidR="005E55C1">
              <w:rPr>
                <w:rFonts w:ascii="Trebuchet MS" w:eastAsia="Times New Roman" w:hAnsi="Trebuchet MS" w:cs="Calibri"/>
                <w:b/>
                <w:bCs/>
                <w:color w:val="FFFFFF"/>
                <w:sz w:val="18"/>
                <w:szCs w:val="18"/>
                <w:lang w:eastAsia="en-GB"/>
              </w:rPr>
              <w:t>COVID-19</w:t>
            </w:r>
          </w:p>
        </w:tc>
        <w:tc>
          <w:tcPr>
            <w:tcW w:w="1136" w:type="dxa"/>
            <w:tcBorders>
              <w:top w:val="nil"/>
              <w:left w:val="nil"/>
              <w:bottom w:val="nil"/>
              <w:right w:val="nil"/>
            </w:tcBorders>
            <w:shd w:val="clear" w:color="000000" w:fill="44546A"/>
            <w:noWrap/>
            <w:vAlign w:val="bottom"/>
            <w:hideMark/>
          </w:tcPr>
          <w:p w14:paraId="24D45C6C" w14:textId="77777777" w:rsidR="00457F7B" w:rsidRPr="003C27AC" w:rsidRDefault="00457F7B" w:rsidP="00457F7B">
            <w:pPr>
              <w:spacing w:after="0" w:line="240" w:lineRule="auto"/>
              <w:rPr>
                <w:rFonts w:ascii="Trebuchet MS" w:eastAsia="Times New Roman" w:hAnsi="Trebuchet MS" w:cs="Calibri"/>
                <w:color w:val="FFFFFF"/>
                <w:sz w:val="18"/>
                <w:szCs w:val="18"/>
                <w:lang w:eastAsia="en-GB"/>
              </w:rPr>
            </w:pPr>
            <w:r w:rsidRPr="003C27AC">
              <w:rPr>
                <w:rFonts w:ascii="Trebuchet MS" w:eastAsia="Times New Roman" w:hAnsi="Trebuchet MS" w:cs="Calibri"/>
                <w:color w:val="FFFFFF"/>
                <w:sz w:val="18"/>
                <w:szCs w:val="18"/>
                <w:lang w:eastAsia="en-GB"/>
              </w:rPr>
              <w:t> </w:t>
            </w:r>
          </w:p>
        </w:tc>
      </w:tr>
      <w:tr w:rsidR="00457F7B" w:rsidRPr="00C96AB6" w14:paraId="1E150D49" w14:textId="77777777" w:rsidTr="003C27AC">
        <w:trPr>
          <w:trHeight w:val="269"/>
        </w:trPr>
        <w:tc>
          <w:tcPr>
            <w:tcW w:w="903" w:type="dxa"/>
            <w:tcBorders>
              <w:top w:val="nil"/>
              <w:left w:val="nil"/>
              <w:bottom w:val="nil"/>
              <w:right w:val="nil"/>
            </w:tcBorders>
            <w:shd w:val="clear" w:color="auto" w:fill="auto"/>
            <w:noWrap/>
            <w:vAlign w:val="center"/>
            <w:hideMark/>
          </w:tcPr>
          <w:p w14:paraId="164D3D1C" w14:textId="77777777" w:rsidR="00457F7B" w:rsidRPr="003C27AC" w:rsidRDefault="00457F7B" w:rsidP="00457F7B">
            <w:pPr>
              <w:spacing w:after="0" w:line="240" w:lineRule="auto"/>
              <w:rPr>
                <w:rFonts w:ascii="Trebuchet MS" w:eastAsia="Times New Roman" w:hAnsi="Trebuchet MS" w:cs="Times New Roman"/>
                <w:b/>
                <w:bCs/>
                <w:color w:val="000000"/>
                <w:sz w:val="18"/>
                <w:szCs w:val="18"/>
                <w:lang w:eastAsia="en-GB"/>
              </w:rPr>
            </w:pPr>
            <w:r w:rsidRPr="003C27AC">
              <w:rPr>
                <w:rFonts w:ascii="Trebuchet MS" w:eastAsia="Times New Roman" w:hAnsi="Trebuchet MS" w:cs="Times New Roman"/>
                <w:b/>
                <w:bCs/>
                <w:color w:val="000000"/>
                <w:sz w:val="18"/>
                <w:szCs w:val="18"/>
                <w:lang w:eastAsia="en-GB"/>
              </w:rPr>
              <w:t>AGIL</w:t>
            </w:r>
          </w:p>
        </w:tc>
        <w:tc>
          <w:tcPr>
            <w:tcW w:w="1811" w:type="dxa"/>
            <w:tcBorders>
              <w:top w:val="single" w:sz="8" w:space="0" w:color="0070C0"/>
              <w:left w:val="nil"/>
              <w:bottom w:val="nil"/>
              <w:right w:val="nil"/>
            </w:tcBorders>
            <w:shd w:val="clear" w:color="auto" w:fill="auto"/>
            <w:noWrap/>
            <w:vAlign w:val="center"/>
            <w:hideMark/>
          </w:tcPr>
          <w:p w14:paraId="313EC246" w14:textId="77777777" w:rsidR="00995EC8" w:rsidRPr="003C27AC" w:rsidRDefault="00457F7B" w:rsidP="006C5658">
            <w:pPr>
              <w:spacing w:after="0" w:line="240" w:lineRule="auto"/>
              <w:jc w:val="right"/>
              <w:rPr>
                <w:rFonts w:ascii="Trebuchet MS" w:eastAsia="Times New Roman" w:hAnsi="Trebuchet MS" w:cs="Calibri"/>
                <w:color w:val="0070C0"/>
                <w:sz w:val="18"/>
                <w:szCs w:val="18"/>
                <w:lang w:eastAsia="en-GB"/>
              </w:rPr>
            </w:pPr>
            <w:r w:rsidRPr="003C27AC">
              <w:rPr>
                <w:rFonts w:ascii="Trebuchet MS" w:eastAsia="Times New Roman" w:hAnsi="Trebuchet MS" w:cs="Calibri"/>
                <w:color w:val="0070C0"/>
                <w:sz w:val="18"/>
                <w:szCs w:val="18"/>
                <w:lang w:eastAsia="en-GB"/>
              </w:rPr>
              <w:t xml:space="preserve">Before </w:t>
            </w:r>
          </w:p>
          <w:p w14:paraId="2C2E13AC" w14:textId="714CFACF" w:rsidR="00457F7B" w:rsidRPr="003C27AC" w:rsidRDefault="00457F7B" w:rsidP="006C5658">
            <w:pPr>
              <w:spacing w:after="0" w:line="240" w:lineRule="auto"/>
              <w:jc w:val="right"/>
              <w:rPr>
                <w:rFonts w:ascii="Trebuchet MS" w:eastAsia="Times New Roman" w:hAnsi="Trebuchet MS" w:cs="Calibri"/>
                <w:color w:val="0070C0"/>
                <w:sz w:val="18"/>
                <w:szCs w:val="18"/>
                <w:lang w:eastAsia="en-GB"/>
              </w:rPr>
            </w:pPr>
            <w:r w:rsidRPr="003C27AC">
              <w:rPr>
                <w:rFonts w:ascii="Trebuchet MS" w:eastAsia="Times New Roman" w:hAnsi="Trebuchet MS" w:cs="Calibri"/>
                <w:color w:val="0070C0"/>
                <w:sz w:val="18"/>
                <w:szCs w:val="18"/>
                <w:lang w:eastAsia="en-GB"/>
              </w:rPr>
              <w:t>Transfer</w:t>
            </w:r>
          </w:p>
        </w:tc>
        <w:tc>
          <w:tcPr>
            <w:tcW w:w="1086" w:type="dxa"/>
            <w:tcBorders>
              <w:top w:val="single" w:sz="8" w:space="0" w:color="0070C0"/>
              <w:left w:val="nil"/>
              <w:bottom w:val="nil"/>
              <w:right w:val="nil"/>
            </w:tcBorders>
            <w:shd w:val="clear" w:color="auto" w:fill="auto"/>
            <w:noWrap/>
            <w:vAlign w:val="center"/>
            <w:hideMark/>
          </w:tcPr>
          <w:p w14:paraId="7EB57650" w14:textId="0B1FA194" w:rsidR="00457F7B" w:rsidRPr="003C27AC" w:rsidRDefault="00457F7B" w:rsidP="006C5658">
            <w:pPr>
              <w:spacing w:after="0" w:line="240" w:lineRule="auto"/>
              <w:jc w:val="right"/>
              <w:rPr>
                <w:rFonts w:ascii="Trebuchet MS" w:eastAsia="Times New Roman" w:hAnsi="Trebuchet MS" w:cs="Calibri"/>
                <w:color w:val="0070C0"/>
                <w:sz w:val="18"/>
                <w:szCs w:val="18"/>
                <w:lang w:eastAsia="en-GB"/>
              </w:rPr>
            </w:pPr>
            <w:r w:rsidRPr="003C27AC">
              <w:rPr>
                <w:rFonts w:ascii="Trebuchet MS" w:eastAsia="Times New Roman" w:hAnsi="Trebuchet MS" w:cs="Calibri"/>
                <w:color w:val="0070C0"/>
                <w:sz w:val="18"/>
                <w:szCs w:val="18"/>
                <w:lang w:eastAsia="en-GB"/>
              </w:rPr>
              <w:t>After Transfer</w:t>
            </w:r>
          </w:p>
        </w:tc>
        <w:tc>
          <w:tcPr>
            <w:tcW w:w="224" w:type="dxa"/>
            <w:tcBorders>
              <w:top w:val="nil"/>
              <w:left w:val="nil"/>
              <w:bottom w:val="nil"/>
              <w:right w:val="nil"/>
            </w:tcBorders>
            <w:shd w:val="clear" w:color="auto" w:fill="auto"/>
            <w:noWrap/>
            <w:vAlign w:val="bottom"/>
            <w:hideMark/>
          </w:tcPr>
          <w:p w14:paraId="1288CA2F" w14:textId="77777777" w:rsidR="00457F7B" w:rsidRPr="003C27AC" w:rsidRDefault="00457F7B" w:rsidP="00457F7B">
            <w:pPr>
              <w:spacing w:after="0" w:line="240" w:lineRule="auto"/>
              <w:rPr>
                <w:rFonts w:ascii="Trebuchet MS" w:eastAsia="Times New Roman" w:hAnsi="Trebuchet MS" w:cs="Calibri"/>
                <w:color w:val="0070C0"/>
                <w:sz w:val="18"/>
                <w:szCs w:val="18"/>
                <w:lang w:eastAsia="en-GB"/>
              </w:rPr>
            </w:pPr>
          </w:p>
        </w:tc>
        <w:tc>
          <w:tcPr>
            <w:tcW w:w="715" w:type="dxa"/>
            <w:tcBorders>
              <w:top w:val="nil"/>
              <w:left w:val="nil"/>
              <w:bottom w:val="nil"/>
              <w:right w:val="nil"/>
            </w:tcBorders>
            <w:shd w:val="clear" w:color="auto" w:fill="auto"/>
            <w:noWrap/>
            <w:vAlign w:val="center"/>
            <w:hideMark/>
          </w:tcPr>
          <w:p w14:paraId="24C12EF0" w14:textId="77777777" w:rsidR="00457F7B" w:rsidRPr="003C27AC" w:rsidRDefault="00457F7B" w:rsidP="00457F7B">
            <w:pPr>
              <w:spacing w:after="0" w:line="240" w:lineRule="auto"/>
              <w:rPr>
                <w:rFonts w:ascii="Trebuchet MS" w:eastAsia="Times New Roman" w:hAnsi="Trebuchet MS" w:cs="Times New Roman"/>
                <w:b/>
                <w:bCs/>
                <w:color w:val="000000"/>
                <w:sz w:val="18"/>
                <w:szCs w:val="18"/>
                <w:lang w:eastAsia="en-GB"/>
              </w:rPr>
            </w:pPr>
            <w:r w:rsidRPr="003C27AC">
              <w:rPr>
                <w:rFonts w:ascii="Trebuchet MS" w:eastAsia="Times New Roman" w:hAnsi="Trebuchet MS" w:cs="Times New Roman"/>
                <w:b/>
                <w:bCs/>
                <w:color w:val="000000"/>
                <w:sz w:val="18"/>
                <w:szCs w:val="18"/>
                <w:lang w:eastAsia="en-GB"/>
              </w:rPr>
              <w:t>LGI</w:t>
            </w:r>
          </w:p>
        </w:tc>
        <w:tc>
          <w:tcPr>
            <w:tcW w:w="1379" w:type="dxa"/>
            <w:tcBorders>
              <w:top w:val="single" w:sz="8" w:space="0" w:color="0070C0"/>
              <w:left w:val="nil"/>
              <w:bottom w:val="nil"/>
              <w:right w:val="nil"/>
            </w:tcBorders>
            <w:shd w:val="clear" w:color="auto" w:fill="auto"/>
            <w:noWrap/>
            <w:vAlign w:val="center"/>
            <w:hideMark/>
          </w:tcPr>
          <w:p w14:paraId="4DC6D311" w14:textId="77777777" w:rsidR="00995EC8" w:rsidRPr="003C27AC" w:rsidRDefault="00457F7B" w:rsidP="006C5658">
            <w:pPr>
              <w:spacing w:after="0" w:line="240" w:lineRule="auto"/>
              <w:jc w:val="right"/>
              <w:rPr>
                <w:rFonts w:ascii="Trebuchet MS" w:eastAsia="Times New Roman" w:hAnsi="Trebuchet MS" w:cs="Calibri"/>
                <w:color w:val="0070C0"/>
                <w:sz w:val="18"/>
                <w:szCs w:val="18"/>
                <w:lang w:eastAsia="en-GB"/>
              </w:rPr>
            </w:pPr>
            <w:r w:rsidRPr="003C27AC">
              <w:rPr>
                <w:rFonts w:ascii="Trebuchet MS" w:eastAsia="Times New Roman" w:hAnsi="Trebuchet MS" w:cs="Calibri"/>
                <w:color w:val="0070C0"/>
                <w:sz w:val="18"/>
                <w:szCs w:val="18"/>
                <w:lang w:eastAsia="en-GB"/>
              </w:rPr>
              <w:t xml:space="preserve">Before </w:t>
            </w:r>
          </w:p>
          <w:p w14:paraId="22327A11" w14:textId="3F7D8792" w:rsidR="00457F7B" w:rsidRPr="003C27AC" w:rsidRDefault="00457F7B" w:rsidP="006C5658">
            <w:pPr>
              <w:spacing w:after="0" w:line="240" w:lineRule="auto"/>
              <w:jc w:val="right"/>
              <w:rPr>
                <w:rFonts w:ascii="Trebuchet MS" w:eastAsia="Times New Roman" w:hAnsi="Trebuchet MS" w:cs="Calibri"/>
                <w:color w:val="0070C0"/>
                <w:sz w:val="18"/>
                <w:szCs w:val="18"/>
                <w:lang w:eastAsia="en-GB"/>
              </w:rPr>
            </w:pPr>
            <w:r w:rsidRPr="003C27AC">
              <w:rPr>
                <w:rFonts w:ascii="Trebuchet MS" w:eastAsia="Times New Roman" w:hAnsi="Trebuchet MS" w:cs="Calibri"/>
                <w:color w:val="0070C0"/>
                <w:sz w:val="18"/>
                <w:szCs w:val="18"/>
                <w:lang w:eastAsia="en-GB"/>
              </w:rPr>
              <w:t>Transfer</w:t>
            </w:r>
          </w:p>
        </w:tc>
        <w:tc>
          <w:tcPr>
            <w:tcW w:w="1086" w:type="dxa"/>
            <w:tcBorders>
              <w:top w:val="single" w:sz="8" w:space="0" w:color="0070C0"/>
              <w:left w:val="nil"/>
              <w:bottom w:val="nil"/>
              <w:right w:val="nil"/>
            </w:tcBorders>
            <w:shd w:val="clear" w:color="auto" w:fill="auto"/>
            <w:noWrap/>
            <w:vAlign w:val="center"/>
            <w:hideMark/>
          </w:tcPr>
          <w:p w14:paraId="05819F98" w14:textId="744515BD" w:rsidR="00457F7B" w:rsidRPr="003C27AC" w:rsidRDefault="00457F7B" w:rsidP="006C5658">
            <w:pPr>
              <w:spacing w:after="0" w:line="240" w:lineRule="auto"/>
              <w:jc w:val="right"/>
              <w:rPr>
                <w:rFonts w:ascii="Trebuchet MS" w:eastAsia="Times New Roman" w:hAnsi="Trebuchet MS" w:cs="Calibri"/>
                <w:color w:val="0070C0"/>
                <w:sz w:val="18"/>
                <w:szCs w:val="18"/>
                <w:lang w:eastAsia="en-GB"/>
              </w:rPr>
            </w:pPr>
            <w:r w:rsidRPr="003C27AC">
              <w:rPr>
                <w:rFonts w:ascii="Trebuchet MS" w:eastAsia="Times New Roman" w:hAnsi="Trebuchet MS" w:cs="Calibri"/>
                <w:color w:val="0070C0"/>
                <w:sz w:val="18"/>
                <w:szCs w:val="18"/>
                <w:lang w:eastAsia="en-GB"/>
              </w:rPr>
              <w:t>After Transfer</w:t>
            </w:r>
          </w:p>
        </w:tc>
        <w:tc>
          <w:tcPr>
            <w:tcW w:w="224" w:type="dxa"/>
            <w:tcBorders>
              <w:top w:val="nil"/>
              <w:left w:val="nil"/>
              <w:bottom w:val="nil"/>
              <w:right w:val="nil"/>
            </w:tcBorders>
            <w:shd w:val="clear" w:color="auto" w:fill="auto"/>
            <w:noWrap/>
            <w:vAlign w:val="bottom"/>
            <w:hideMark/>
          </w:tcPr>
          <w:p w14:paraId="58D42D49" w14:textId="77777777" w:rsidR="00457F7B" w:rsidRPr="003C27AC" w:rsidRDefault="00457F7B" w:rsidP="00457F7B">
            <w:pPr>
              <w:spacing w:after="0" w:line="240" w:lineRule="auto"/>
              <w:rPr>
                <w:rFonts w:ascii="Trebuchet MS" w:eastAsia="Times New Roman" w:hAnsi="Trebuchet MS" w:cs="Calibri"/>
                <w:color w:val="0070C0"/>
                <w:sz w:val="18"/>
                <w:szCs w:val="18"/>
                <w:lang w:eastAsia="en-GB"/>
              </w:rPr>
            </w:pPr>
          </w:p>
        </w:tc>
        <w:tc>
          <w:tcPr>
            <w:tcW w:w="715" w:type="dxa"/>
            <w:tcBorders>
              <w:top w:val="nil"/>
              <w:left w:val="nil"/>
              <w:bottom w:val="nil"/>
              <w:right w:val="nil"/>
            </w:tcBorders>
            <w:shd w:val="clear" w:color="auto" w:fill="auto"/>
            <w:noWrap/>
            <w:vAlign w:val="center"/>
            <w:hideMark/>
          </w:tcPr>
          <w:p w14:paraId="5EDA23A8" w14:textId="77777777" w:rsidR="00457F7B" w:rsidRPr="003C27AC" w:rsidRDefault="00457F7B" w:rsidP="00457F7B">
            <w:pPr>
              <w:spacing w:after="0" w:line="240" w:lineRule="auto"/>
              <w:rPr>
                <w:rFonts w:ascii="Trebuchet MS" w:eastAsia="Times New Roman" w:hAnsi="Trebuchet MS" w:cs="Times New Roman"/>
                <w:b/>
                <w:bCs/>
                <w:color w:val="000000"/>
                <w:sz w:val="18"/>
                <w:szCs w:val="18"/>
                <w:lang w:eastAsia="en-GB"/>
              </w:rPr>
            </w:pPr>
            <w:r w:rsidRPr="003C27AC">
              <w:rPr>
                <w:rFonts w:ascii="Trebuchet MS" w:eastAsia="Times New Roman" w:hAnsi="Trebuchet MS" w:cs="Times New Roman"/>
                <w:b/>
                <w:bCs/>
                <w:color w:val="000000"/>
                <w:sz w:val="18"/>
                <w:szCs w:val="18"/>
                <w:lang w:eastAsia="en-GB"/>
              </w:rPr>
              <w:t>AEI</w:t>
            </w:r>
          </w:p>
        </w:tc>
        <w:tc>
          <w:tcPr>
            <w:tcW w:w="1321" w:type="dxa"/>
            <w:tcBorders>
              <w:top w:val="single" w:sz="8" w:space="0" w:color="0070C0"/>
              <w:left w:val="nil"/>
              <w:bottom w:val="nil"/>
              <w:right w:val="nil"/>
            </w:tcBorders>
            <w:shd w:val="clear" w:color="auto" w:fill="auto"/>
            <w:noWrap/>
            <w:vAlign w:val="center"/>
            <w:hideMark/>
          </w:tcPr>
          <w:p w14:paraId="7196D193" w14:textId="77777777" w:rsidR="00457F7B" w:rsidRPr="003C27AC" w:rsidRDefault="00457F7B" w:rsidP="006C5658">
            <w:pPr>
              <w:spacing w:after="0" w:line="240" w:lineRule="auto"/>
              <w:jc w:val="right"/>
              <w:rPr>
                <w:rFonts w:ascii="Trebuchet MS" w:eastAsia="Times New Roman" w:hAnsi="Trebuchet MS" w:cs="Calibri"/>
                <w:color w:val="0070C0"/>
                <w:sz w:val="18"/>
                <w:szCs w:val="18"/>
                <w:lang w:eastAsia="en-GB"/>
              </w:rPr>
            </w:pPr>
            <w:r w:rsidRPr="003C27AC">
              <w:rPr>
                <w:rFonts w:ascii="Trebuchet MS" w:eastAsia="Times New Roman" w:hAnsi="Trebuchet MS" w:cs="Calibri"/>
                <w:color w:val="0070C0"/>
                <w:sz w:val="18"/>
                <w:szCs w:val="18"/>
                <w:lang w:eastAsia="en-GB"/>
              </w:rPr>
              <w:t>Before Transfer</w:t>
            </w:r>
          </w:p>
        </w:tc>
        <w:tc>
          <w:tcPr>
            <w:tcW w:w="1136" w:type="dxa"/>
            <w:tcBorders>
              <w:top w:val="single" w:sz="8" w:space="0" w:color="0070C0"/>
              <w:left w:val="nil"/>
              <w:bottom w:val="nil"/>
              <w:right w:val="nil"/>
            </w:tcBorders>
            <w:shd w:val="clear" w:color="auto" w:fill="auto"/>
            <w:noWrap/>
            <w:vAlign w:val="center"/>
            <w:hideMark/>
          </w:tcPr>
          <w:p w14:paraId="41F2E3AC" w14:textId="61A1FCD2" w:rsidR="00457F7B" w:rsidRPr="003C27AC" w:rsidRDefault="00457F7B" w:rsidP="006C5658">
            <w:pPr>
              <w:spacing w:after="0" w:line="240" w:lineRule="auto"/>
              <w:jc w:val="right"/>
              <w:rPr>
                <w:rFonts w:ascii="Trebuchet MS" w:eastAsia="Times New Roman" w:hAnsi="Trebuchet MS" w:cs="Calibri"/>
                <w:color w:val="0070C0"/>
                <w:sz w:val="18"/>
                <w:szCs w:val="18"/>
                <w:lang w:eastAsia="en-GB"/>
              </w:rPr>
            </w:pPr>
            <w:r w:rsidRPr="003C27AC">
              <w:rPr>
                <w:rFonts w:ascii="Trebuchet MS" w:eastAsia="Times New Roman" w:hAnsi="Trebuchet MS" w:cs="Calibri"/>
                <w:color w:val="0070C0"/>
                <w:sz w:val="18"/>
                <w:szCs w:val="18"/>
                <w:lang w:eastAsia="en-GB"/>
              </w:rPr>
              <w:t>After Transfer</w:t>
            </w:r>
          </w:p>
        </w:tc>
      </w:tr>
      <w:tr w:rsidR="00457F7B" w:rsidRPr="00C96AB6" w14:paraId="3B238F10" w14:textId="77777777" w:rsidTr="003C27AC">
        <w:trPr>
          <w:trHeight w:val="237"/>
        </w:trPr>
        <w:tc>
          <w:tcPr>
            <w:tcW w:w="903" w:type="dxa"/>
            <w:tcBorders>
              <w:top w:val="nil"/>
              <w:left w:val="nil"/>
              <w:bottom w:val="single" w:sz="8" w:space="0" w:color="0070C0"/>
              <w:right w:val="nil"/>
            </w:tcBorders>
            <w:shd w:val="clear" w:color="auto" w:fill="auto"/>
            <w:noWrap/>
            <w:vAlign w:val="center"/>
            <w:hideMark/>
          </w:tcPr>
          <w:p w14:paraId="28AB6E28" w14:textId="77777777" w:rsidR="00457F7B" w:rsidRPr="003C27AC" w:rsidRDefault="00457F7B" w:rsidP="00457F7B">
            <w:pPr>
              <w:spacing w:after="0" w:line="240" w:lineRule="auto"/>
              <w:rPr>
                <w:rFonts w:ascii="Trebuchet MS" w:eastAsia="Times New Roman" w:hAnsi="Trebuchet MS" w:cs="Calibri"/>
                <w:color w:val="000000"/>
                <w:sz w:val="18"/>
                <w:szCs w:val="18"/>
                <w:lang w:eastAsia="en-GB"/>
              </w:rPr>
            </w:pPr>
            <w:r w:rsidRPr="003C27AC">
              <w:rPr>
                <w:rFonts w:ascii="Trebuchet MS" w:eastAsia="Times New Roman" w:hAnsi="Trebuchet MS" w:cs="Calibri"/>
                <w:color w:val="000000"/>
                <w:sz w:val="18"/>
                <w:szCs w:val="18"/>
                <w:lang w:eastAsia="en-GB"/>
              </w:rPr>
              <w:t>SCR %</w:t>
            </w:r>
          </w:p>
        </w:tc>
        <w:tc>
          <w:tcPr>
            <w:tcW w:w="1811" w:type="dxa"/>
            <w:tcBorders>
              <w:top w:val="nil"/>
              <w:left w:val="nil"/>
              <w:bottom w:val="single" w:sz="8" w:space="0" w:color="0070C0"/>
              <w:right w:val="nil"/>
            </w:tcBorders>
            <w:shd w:val="clear" w:color="auto" w:fill="auto"/>
            <w:noWrap/>
            <w:vAlign w:val="center"/>
            <w:hideMark/>
          </w:tcPr>
          <w:p w14:paraId="53ADB6B1" w14:textId="77777777" w:rsidR="00457F7B" w:rsidRPr="003C27AC" w:rsidRDefault="00457F7B" w:rsidP="00457F7B">
            <w:pPr>
              <w:spacing w:after="0" w:line="240" w:lineRule="auto"/>
              <w:jc w:val="right"/>
              <w:rPr>
                <w:rFonts w:ascii="Trebuchet MS" w:eastAsia="Times New Roman" w:hAnsi="Trebuchet MS" w:cs="Calibri"/>
                <w:color w:val="000000"/>
                <w:sz w:val="18"/>
                <w:szCs w:val="18"/>
                <w:lang w:eastAsia="en-GB"/>
              </w:rPr>
            </w:pPr>
            <w:r w:rsidRPr="003C27AC">
              <w:rPr>
                <w:rFonts w:ascii="Trebuchet MS" w:eastAsia="Times New Roman" w:hAnsi="Trebuchet MS" w:cs="Calibri"/>
                <w:color w:val="000000"/>
                <w:sz w:val="18"/>
                <w:szCs w:val="18"/>
                <w:lang w:eastAsia="en-GB"/>
              </w:rPr>
              <w:t>154%</w:t>
            </w:r>
          </w:p>
        </w:tc>
        <w:tc>
          <w:tcPr>
            <w:tcW w:w="1086" w:type="dxa"/>
            <w:tcBorders>
              <w:top w:val="nil"/>
              <w:left w:val="nil"/>
              <w:bottom w:val="single" w:sz="8" w:space="0" w:color="0070C0"/>
              <w:right w:val="nil"/>
            </w:tcBorders>
            <w:shd w:val="clear" w:color="auto" w:fill="auto"/>
            <w:noWrap/>
            <w:vAlign w:val="center"/>
            <w:hideMark/>
          </w:tcPr>
          <w:p w14:paraId="4A468D0D" w14:textId="77777777" w:rsidR="00457F7B" w:rsidRPr="003C27AC" w:rsidRDefault="00457F7B" w:rsidP="00457F7B">
            <w:pPr>
              <w:spacing w:after="0" w:line="240" w:lineRule="auto"/>
              <w:jc w:val="right"/>
              <w:rPr>
                <w:rFonts w:ascii="Trebuchet MS" w:eastAsia="Times New Roman" w:hAnsi="Trebuchet MS" w:cs="Calibri"/>
                <w:color w:val="000000"/>
                <w:sz w:val="18"/>
                <w:szCs w:val="18"/>
                <w:lang w:eastAsia="en-GB"/>
              </w:rPr>
            </w:pPr>
            <w:r w:rsidRPr="003C27AC">
              <w:rPr>
                <w:rFonts w:ascii="Trebuchet MS" w:eastAsia="Times New Roman" w:hAnsi="Trebuchet MS" w:cs="Calibri"/>
                <w:color w:val="000000"/>
                <w:sz w:val="18"/>
                <w:szCs w:val="18"/>
                <w:lang w:eastAsia="en-GB"/>
              </w:rPr>
              <w:t>202%</w:t>
            </w:r>
          </w:p>
        </w:tc>
        <w:tc>
          <w:tcPr>
            <w:tcW w:w="224" w:type="dxa"/>
            <w:tcBorders>
              <w:top w:val="nil"/>
              <w:left w:val="nil"/>
              <w:bottom w:val="nil"/>
              <w:right w:val="nil"/>
            </w:tcBorders>
            <w:shd w:val="clear" w:color="auto" w:fill="auto"/>
            <w:noWrap/>
            <w:vAlign w:val="bottom"/>
            <w:hideMark/>
          </w:tcPr>
          <w:p w14:paraId="0F9E0304" w14:textId="77777777" w:rsidR="00457F7B" w:rsidRPr="003C27AC" w:rsidRDefault="00457F7B" w:rsidP="00457F7B">
            <w:pPr>
              <w:spacing w:after="0" w:line="240" w:lineRule="auto"/>
              <w:jc w:val="right"/>
              <w:rPr>
                <w:rFonts w:ascii="Trebuchet MS" w:eastAsia="Times New Roman" w:hAnsi="Trebuchet MS" w:cs="Calibri"/>
                <w:color w:val="000000"/>
                <w:sz w:val="18"/>
                <w:szCs w:val="18"/>
                <w:lang w:eastAsia="en-GB"/>
              </w:rPr>
            </w:pPr>
          </w:p>
        </w:tc>
        <w:tc>
          <w:tcPr>
            <w:tcW w:w="715" w:type="dxa"/>
            <w:tcBorders>
              <w:top w:val="nil"/>
              <w:left w:val="nil"/>
              <w:bottom w:val="single" w:sz="8" w:space="0" w:color="0070C0"/>
              <w:right w:val="nil"/>
            </w:tcBorders>
            <w:shd w:val="clear" w:color="auto" w:fill="auto"/>
            <w:noWrap/>
            <w:vAlign w:val="center"/>
            <w:hideMark/>
          </w:tcPr>
          <w:p w14:paraId="3BE67B62" w14:textId="77777777" w:rsidR="00457F7B" w:rsidRPr="003C27AC" w:rsidRDefault="00457F7B" w:rsidP="00457F7B">
            <w:pPr>
              <w:spacing w:after="0" w:line="240" w:lineRule="auto"/>
              <w:rPr>
                <w:rFonts w:ascii="Trebuchet MS" w:eastAsia="Times New Roman" w:hAnsi="Trebuchet MS" w:cs="Calibri"/>
                <w:color w:val="000000"/>
                <w:sz w:val="18"/>
                <w:szCs w:val="18"/>
                <w:lang w:eastAsia="en-GB"/>
              </w:rPr>
            </w:pPr>
            <w:r w:rsidRPr="003C27AC">
              <w:rPr>
                <w:rFonts w:ascii="Trebuchet MS" w:eastAsia="Times New Roman" w:hAnsi="Trebuchet MS" w:cs="Calibri"/>
                <w:color w:val="000000"/>
                <w:sz w:val="18"/>
                <w:szCs w:val="18"/>
                <w:lang w:eastAsia="en-GB"/>
              </w:rPr>
              <w:t>SCR %</w:t>
            </w:r>
          </w:p>
        </w:tc>
        <w:tc>
          <w:tcPr>
            <w:tcW w:w="1379" w:type="dxa"/>
            <w:tcBorders>
              <w:top w:val="nil"/>
              <w:left w:val="nil"/>
              <w:bottom w:val="single" w:sz="8" w:space="0" w:color="0070C0"/>
              <w:right w:val="nil"/>
            </w:tcBorders>
            <w:shd w:val="clear" w:color="auto" w:fill="auto"/>
            <w:noWrap/>
            <w:vAlign w:val="center"/>
            <w:hideMark/>
          </w:tcPr>
          <w:p w14:paraId="14182AA8" w14:textId="77777777" w:rsidR="00457F7B" w:rsidRPr="003C27AC" w:rsidRDefault="00457F7B" w:rsidP="00457F7B">
            <w:pPr>
              <w:spacing w:after="0" w:line="240" w:lineRule="auto"/>
              <w:jc w:val="right"/>
              <w:rPr>
                <w:rFonts w:ascii="Trebuchet MS" w:eastAsia="Times New Roman" w:hAnsi="Trebuchet MS" w:cs="Calibri"/>
                <w:color w:val="000000"/>
                <w:sz w:val="18"/>
                <w:szCs w:val="18"/>
                <w:lang w:eastAsia="en-GB"/>
              </w:rPr>
            </w:pPr>
            <w:r w:rsidRPr="003C27AC">
              <w:rPr>
                <w:rFonts w:ascii="Trebuchet MS" w:eastAsia="Times New Roman" w:hAnsi="Trebuchet MS" w:cs="Calibri"/>
                <w:color w:val="000000"/>
                <w:sz w:val="18"/>
                <w:szCs w:val="18"/>
                <w:lang w:eastAsia="en-GB"/>
              </w:rPr>
              <w:t>197%</w:t>
            </w:r>
          </w:p>
        </w:tc>
        <w:tc>
          <w:tcPr>
            <w:tcW w:w="1086" w:type="dxa"/>
            <w:tcBorders>
              <w:top w:val="nil"/>
              <w:left w:val="nil"/>
              <w:bottom w:val="single" w:sz="8" w:space="0" w:color="0070C0"/>
              <w:right w:val="nil"/>
            </w:tcBorders>
            <w:shd w:val="clear" w:color="auto" w:fill="auto"/>
            <w:noWrap/>
            <w:vAlign w:val="center"/>
            <w:hideMark/>
          </w:tcPr>
          <w:p w14:paraId="7E293084" w14:textId="77777777" w:rsidR="00457F7B" w:rsidRPr="003C27AC" w:rsidRDefault="00457F7B" w:rsidP="00457F7B">
            <w:pPr>
              <w:spacing w:after="0" w:line="240" w:lineRule="auto"/>
              <w:jc w:val="right"/>
              <w:rPr>
                <w:rFonts w:ascii="Trebuchet MS" w:eastAsia="Times New Roman" w:hAnsi="Trebuchet MS" w:cs="Calibri"/>
                <w:color w:val="000000"/>
                <w:sz w:val="18"/>
                <w:szCs w:val="18"/>
                <w:lang w:eastAsia="en-GB"/>
              </w:rPr>
            </w:pPr>
            <w:r w:rsidRPr="003C27AC">
              <w:rPr>
                <w:rFonts w:ascii="Trebuchet MS" w:eastAsia="Times New Roman" w:hAnsi="Trebuchet MS" w:cs="Calibri"/>
                <w:color w:val="000000"/>
                <w:sz w:val="18"/>
                <w:szCs w:val="18"/>
                <w:lang w:eastAsia="en-GB"/>
              </w:rPr>
              <w:t>252%</w:t>
            </w:r>
          </w:p>
        </w:tc>
        <w:tc>
          <w:tcPr>
            <w:tcW w:w="224" w:type="dxa"/>
            <w:tcBorders>
              <w:top w:val="nil"/>
              <w:left w:val="nil"/>
              <w:bottom w:val="nil"/>
              <w:right w:val="nil"/>
            </w:tcBorders>
            <w:shd w:val="clear" w:color="auto" w:fill="auto"/>
            <w:noWrap/>
            <w:vAlign w:val="bottom"/>
            <w:hideMark/>
          </w:tcPr>
          <w:p w14:paraId="0D372EB8" w14:textId="77777777" w:rsidR="00457F7B" w:rsidRPr="003C27AC" w:rsidRDefault="00457F7B" w:rsidP="00457F7B">
            <w:pPr>
              <w:spacing w:after="0" w:line="240" w:lineRule="auto"/>
              <w:jc w:val="right"/>
              <w:rPr>
                <w:rFonts w:ascii="Trebuchet MS" w:eastAsia="Times New Roman" w:hAnsi="Trebuchet MS" w:cs="Calibri"/>
                <w:color w:val="000000"/>
                <w:sz w:val="18"/>
                <w:szCs w:val="18"/>
                <w:lang w:eastAsia="en-GB"/>
              </w:rPr>
            </w:pPr>
          </w:p>
        </w:tc>
        <w:tc>
          <w:tcPr>
            <w:tcW w:w="715" w:type="dxa"/>
            <w:tcBorders>
              <w:top w:val="nil"/>
              <w:left w:val="nil"/>
              <w:bottom w:val="single" w:sz="8" w:space="0" w:color="0070C0"/>
              <w:right w:val="nil"/>
            </w:tcBorders>
            <w:shd w:val="clear" w:color="auto" w:fill="auto"/>
            <w:noWrap/>
            <w:vAlign w:val="center"/>
            <w:hideMark/>
          </w:tcPr>
          <w:p w14:paraId="1907F893" w14:textId="77777777" w:rsidR="00457F7B" w:rsidRPr="003C27AC" w:rsidRDefault="00457F7B" w:rsidP="00457F7B">
            <w:pPr>
              <w:spacing w:after="0" w:line="240" w:lineRule="auto"/>
              <w:rPr>
                <w:rFonts w:ascii="Trebuchet MS" w:eastAsia="Times New Roman" w:hAnsi="Trebuchet MS" w:cs="Calibri"/>
                <w:color w:val="000000"/>
                <w:sz w:val="18"/>
                <w:szCs w:val="18"/>
                <w:lang w:eastAsia="en-GB"/>
              </w:rPr>
            </w:pPr>
            <w:r w:rsidRPr="003C27AC">
              <w:rPr>
                <w:rFonts w:ascii="Trebuchet MS" w:eastAsia="Times New Roman" w:hAnsi="Trebuchet MS" w:cs="Calibri"/>
                <w:color w:val="000000"/>
                <w:sz w:val="18"/>
                <w:szCs w:val="18"/>
                <w:lang w:eastAsia="en-GB"/>
              </w:rPr>
              <w:t>SCR %</w:t>
            </w:r>
          </w:p>
        </w:tc>
        <w:tc>
          <w:tcPr>
            <w:tcW w:w="1321" w:type="dxa"/>
            <w:tcBorders>
              <w:top w:val="nil"/>
              <w:left w:val="nil"/>
              <w:bottom w:val="single" w:sz="8" w:space="0" w:color="0070C0"/>
              <w:right w:val="nil"/>
            </w:tcBorders>
            <w:shd w:val="clear" w:color="auto" w:fill="auto"/>
            <w:noWrap/>
            <w:vAlign w:val="center"/>
            <w:hideMark/>
          </w:tcPr>
          <w:p w14:paraId="61D7EDED" w14:textId="77777777" w:rsidR="00457F7B" w:rsidRPr="003C27AC" w:rsidRDefault="00457F7B" w:rsidP="00457F7B">
            <w:pPr>
              <w:spacing w:after="0" w:line="240" w:lineRule="auto"/>
              <w:jc w:val="right"/>
              <w:rPr>
                <w:rFonts w:ascii="Trebuchet MS" w:eastAsia="Times New Roman" w:hAnsi="Trebuchet MS" w:cs="Calibri"/>
                <w:color w:val="000000"/>
                <w:sz w:val="18"/>
                <w:szCs w:val="18"/>
                <w:lang w:eastAsia="en-GB"/>
              </w:rPr>
            </w:pPr>
            <w:r w:rsidRPr="003C27AC">
              <w:rPr>
                <w:rFonts w:ascii="Trebuchet MS" w:eastAsia="Times New Roman" w:hAnsi="Trebuchet MS" w:cs="Calibri"/>
                <w:color w:val="000000"/>
                <w:sz w:val="18"/>
                <w:szCs w:val="18"/>
                <w:lang w:eastAsia="en-GB"/>
              </w:rPr>
              <w:t>461%</w:t>
            </w:r>
          </w:p>
        </w:tc>
        <w:tc>
          <w:tcPr>
            <w:tcW w:w="1136" w:type="dxa"/>
            <w:tcBorders>
              <w:top w:val="nil"/>
              <w:left w:val="nil"/>
              <w:bottom w:val="single" w:sz="8" w:space="0" w:color="0070C0"/>
              <w:right w:val="nil"/>
            </w:tcBorders>
            <w:shd w:val="clear" w:color="auto" w:fill="auto"/>
            <w:noWrap/>
            <w:vAlign w:val="center"/>
            <w:hideMark/>
          </w:tcPr>
          <w:p w14:paraId="33CF84B9" w14:textId="77777777" w:rsidR="00457F7B" w:rsidRPr="003C27AC" w:rsidRDefault="00457F7B" w:rsidP="00457F7B">
            <w:pPr>
              <w:spacing w:after="0" w:line="240" w:lineRule="auto"/>
              <w:jc w:val="right"/>
              <w:rPr>
                <w:rFonts w:ascii="Trebuchet MS" w:eastAsia="Times New Roman" w:hAnsi="Trebuchet MS" w:cs="Calibri"/>
                <w:color w:val="000000"/>
                <w:sz w:val="18"/>
                <w:szCs w:val="18"/>
                <w:lang w:eastAsia="en-GB"/>
              </w:rPr>
            </w:pPr>
            <w:r w:rsidRPr="003C27AC">
              <w:rPr>
                <w:rFonts w:ascii="Trebuchet MS" w:eastAsia="Times New Roman" w:hAnsi="Trebuchet MS" w:cs="Calibri"/>
                <w:color w:val="000000"/>
                <w:sz w:val="18"/>
                <w:szCs w:val="18"/>
                <w:lang w:eastAsia="en-GB"/>
              </w:rPr>
              <w:t>159%</w:t>
            </w:r>
          </w:p>
        </w:tc>
      </w:tr>
      <w:tr w:rsidR="00457F7B" w:rsidRPr="00C96AB6" w14:paraId="3FD9300F" w14:textId="77777777" w:rsidTr="003C27AC">
        <w:trPr>
          <w:trHeight w:val="227"/>
        </w:trPr>
        <w:tc>
          <w:tcPr>
            <w:tcW w:w="903" w:type="dxa"/>
            <w:tcBorders>
              <w:top w:val="nil"/>
              <w:left w:val="nil"/>
              <w:bottom w:val="nil"/>
              <w:right w:val="nil"/>
            </w:tcBorders>
            <w:shd w:val="clear" w:color="auto" w:fill="auto"/>
            <w:noWrap/>
            <w:vAlign w:val="center"/>
            <w:hideMark/>
          </w:tcPr>
          <w:p w14:paraId="5E343B31" w14:textId="77777777" w:rsidR="00457F7B" w:rsidRPr="003C27AC" w:rsidRDefault="00457F7B" w:rsidP="00457F7B">
            <w:pPr>
              <w:spacing w:after="0" w:line="240" w:lineRule="auto"/>
              <w:rPr>
                <w:rFonts w:ascii="Trebuchet MS" w:eastAsia="Times New Roman" w:hAnsi="Trebuchet MS" w:cs="Calibri"/>
                <w:color w:val="000000"/>
                <w:sz w:val="18"/>
                <w:szCs w:val="18"/>
                <w:lang w:eastAsia="en-GB"/>
              </w:rPr>
            </w:pPr>
            <w:r w:rsidRPr="003C27AC">
              <w:rPr>
                <w:rFonts w:ascii="Trebuchet MS" w:eastAsia="Times New Roman" w:hAnsi="Trebuchet MS" w:cs="Calibri"/>
                <w:color w:val="000000"/>
                <w:sz w:val="18"/>
                <w:szCs w:val="18"/>
                <w:lang w:eastAsia="en-GB"/>
              </w:rPr>
              <w:t>target</w:t>
            </w:r>
          </w:p>
        </w:tc>
        <w:tc>
          <w:tcPr>
            <w:tcW w:w="1811" w:type="dxa"/>
            <w:tcBorders>
              <w:top w:val="nil"/>
              <w:left w:val="nil"/>
              <w:bottom w:val="nil"/>
              <w:right w:val="nil"/>
            </w:tcBorders>
            <w:shd w:val="clear" w:color="auto" w:fill="auto"/>
            <w:noWrap/>
            <w:vAlign w:val="center"/>
            <w:hideMark/>
          </w:tcPr>
          <w:p w14:paraId="14CFB39A" w14:textId="77777777" w:rsidR="00457F7B" w:rsidRPr="003C27AC" w:rsidRDefault="00457F7B" w:rsidP="00457F7B">
            <w:pPr>
              <w:spacing w:after="0" w:line="240" w:lineRule="auto"/>
              <w:jc w:val="right"/>
              <w:rPr>
                <w:rFonts w:ascii="Trebuchet MS" w:eastAsia="Times New Roman" w:hAnsi="Trebuchet MS" w:cs="Calibri"/>
                <w:color w:val="000000"/>
                <w:sz w:val="18"/>
                <w:szCs w:val="18"/>
                <w:lang w:eastAsia="en-GB"/>
              </w:rPr>
            </w:pPr>
            <w:r w:rsidRPr="003C27AC">
              <w:rPr>
                <w:rFonts w:ascii="Trebuchet MS" w:eastAsia="Times New Roman" w:hAnsi="Trebuchet MS" w:cs="Calibri"/>
                <w:color w:val="000000"/>
                <w:sz w:val="18"/>
                <w:szCs w:val="18"/>
                <w:lang w:eastAsia="en-GB"/>
              </w:rPr>
              <w:t>135%</w:t>
            </w:r>
          </w:p>
        </w:tc>
        <w:tc>
          <w:tcPr>
            <w:tcW w:w="1086" w:type="dxa"/>
            <w:tcBorders>
              <w:top w:val="nil"/>
              <w:left w:val="nil"/>
              <w:bottom w:val="nil"/>
              <w:right w:val="nil"/>
            </w:tcBorders>
            <w:shd w:val="clear" w:color="auto" w:fill="auto"/>
            <w:noWrap/>
            <w:vAlign w:val="center"/>
            <w:hideMark/>
          </w:tcPr>
          <w:p w14:paraId="7F29C487" w14:textId="77777777" w:rsidR="00457F7B" w:rsidRPr="003C27AC" w:rsidRDefault="00457F7B" w:rsidP="00457F7B">
            <w:pPr>
              <w:spacing w:after="0" w:line="240" w:lineRule="auto"/>
              <w:jc w:val="right"/>
              <w:rPr>
                <w:rFonts w:ascii="Trebuchet MS" w:eastAsia="Times New Roman" w:hAnsi="Trebuchet MS" w:cs="Calibri"/>
                <w:color w:val="000000"/>
                <w:sz w:val="18"/>
                <w:szCs w:val="18"/>
                <w:lang w:eastAsia="en-GB"/>
              </w:rPr>
            </w:pPr>
            <w:r w:rsidRPr="003C27AC">
              <w:rPr>
                <w:rFonts w:ascii="Trebuchet MS" w:eastAsia="Times New Roman" w:hAnsi="Trebuchet MS" w:cs="Calibri"/>
                <w:color w:val="000000"/>
                <w:sz w:val="18"/>
                <w:szCs w:val="18"/>
                <w:lang w:eastAsia="en-GB"/>
              </w:rPr>
              <w:t>135%</w:t>
            </w:r>
          </w:p>
        </w:tc>
        <w:tc>
          <w:tcPr>
            <w:tcW w:w="224" w:type="dxa"/>
            <w:tcBorders>
              <w:top w:val="nil"/>
              <w:left w:val="nil"/>
              <w:bottom w:val="nil"/>
              <w:right w:val="nil"/>
            </w:tcBorders>
            <w:shd w:val="clear" w:color="auto" w:fill="auto"/>
            <w:noWrap/>
            <w:vAlign w:val="bottom"/>
            <w:hideMark/>
          </w:tcPr>
          <w:p w14:paraId="006567FB" w14:textId="77777777" w:rsidR="00457F7B" w:rsidRPr="003C27AC" w:rsidRDefault="00457F7B" w:rsidP="00457F7B">
            <w:pPr>
              <w:spacing w:after="0" w:line="240" w:lineRule="auto"/>
              <w:jc w:val="right"/>
              <w:rPr>
                <w:rFonts w:ascii="Trebuchet MS" w:eastAsia="Times New Roman" w:hAnsi="Trebuchet MS" w:cs="Calibri"/>
                <w:color w:val="000000"/>
                <w:sz w:val="18"/>
                <w:szCs w:val="18"/>
                <w:lang w:eastAsia="en-GB"/>
              </w:rPr>
            </w:pPr>
          </w:p>
        </w:tc>
        <w:tc>
          <w:tcPr>
            <w:tcW w:w="715" w:type="dxa"/>
            <w:tcBorders>
              <w:top w:val="nil"/>
              <w:left w:val="nil"/>
              <w:bottom w:val="nil"/>
              <w:right w:val="nil"/>
            </w:tcBorders>
            <w:shd w:val="clear" w:color="auto" w:fill="auto"/>
            <w:noWrap/>
            <w:vAlign w:val="center"/>
            <w:hideMark/>
          </w:tcPr>
          <w:p w14:paraId="4D52C241" w14:textId="77777777" w:rsidR="00457F7B" w:rsidRPr="003C27AC" w:rsidRDefault="00457F7B" w:rsidP="00457F7B">
            <w:pPr>
              <w:spacing w:after="0" w:line="240" w:lineRule="auto"/>
              <w:rPr>
                <w:rFonts w:ascii="Trebuchet MS" w:eastAsia="Times New Roman" w:hAnsi="Trebuchet MS" w:cs="Calibri"/>
                <w:color w:val="000000"/>
                <w:sz w:val="18"/>
                <w:szCs w:val="18"/>
                <w:lang w:eastAsia="en-GB"/>
              </w:rPr>
            </w:pPr>
            <w:r w:rsidRPr="003C27AC">
              <w:rPr>
                <w:rFonts w:ascii="Trebuchet MS" w:eastAsia="Times New Roman" w:hAnsi="Trebuchet MS" w:cs="Calibri"/>
                <w:color w:val="000000"/>
                <w:sz w:val="18"/>
                <w:szCs w:val="18"/>
                <w:lang w:eastAsia="en-GB"/>
              </w:rPr>
              <w:t>target</w:t>
            </w:r>
          </w:p>
        </w:tc>
        <w:tc>
          <w:tcPr>
            <w:tcW w:w="1379" w:type="dxa"/>
            <w:tcBorders>
              <w:top w:val="nil"/>
              <w:left w:val="nil"/>
              <w:bottom w:val="nil"/>
              <w:right w:val="nil"/>
            </w:tcBorders>
            <w:shd w:val="clear" w:color="auto" w:fill="auto"/>
            <w:noWrap/>
            <w:vAlign w:val="center"/>
            <w:hideMark/>
          </w:tcPr>
          <w:p w14:paraId="7AF308AF" w14:textId="77777777" w:rsidR="00457F7B" w:rsidRPr="003C27AC" w:rsidRDefault="00457F7B" w:rsidP="00457F7B">
            <w:pPr>
              <w:spacing w:after="0" w:line="240" w:lineRule="auto"/>
              <w:jc w:val="right"/>
              <w:rPr>
                <w:rFonts w:ascii="Trebuchet MS" w:eastAsia="Times New Roman" w:hAnsi="Trebuchet MS" w:cs="Calibri"/>
                <w:color w:val="000000"/>
                <w:sz w:val="18"/>
                <w:szCs w:val="18"/>
                <w:lang w:eastAsia="en-GB"/>
              </w:rPr>
            </w:pPr>
            <w:r w:rsidRPr="003C27AC">
              <w:rPr>
                <w:rFonts w:ascii="Trebuchet MS" w:eastAsia="Times New Roman" w:hAnsi="Trebuchet MS" w:cs="Calibri"/>
                <w:color w:val="000000"/>
                <w:sz w:val="18"/>
                <w:szCs w:val="18"/>
                <w:lang w:eastAsia="en-GB"/>
              </w:rPr>
              <w:t>125%</w:t>
            </w:r>
          </w:p>
        </w:tc>
        <w:tc>
          <w:tcPr>
            <w:tcW w:w="1086" w:type="dxa"/>
            <w:tcBorders>
              <w:top w:val="nil"/>
              <w:left w:val="nil"/>
              <w:bottom w:val="nil"/>
              <w:right w:val="nil"/>
            </w:tcBorders>
            <w:shd w:val="clear" w:color="auto" w:fill="auto"/>
            <w:noWrap/>
            <w:vAlign w:val="center"/>
            <w:hideMark/>
          </w:tcPr>
          <w:p w14:paraId="58A11E54" w14:textId="77777777" w:rsidR="00457F7B" w:rsidRPr="003C27AC" w:rsidRDefault="00457F7B" w:rsidP="00457F7B">
            <w:pPr>
              <w:spacing w:after="0" w:line="240" w:lineRule="auto"/>
              <w:jc w:val="right"/>
              <w:rPr>
                <w:rFonts w:ascii="Trebuchet MS" w:eastAsia="Times New Roman" w:hAnsi="Trebuchet MS" w:cs="Calibri"/>
                <w:color w:val="000000"/>
                <w:sz w:val="18"/>
                <w:szCs w:val="18"/>
                <w:lang w:eastAsia="en-GB"/>
              </w:rPr>
            </w:pPr>
            <w:r w:rsidRPr="003C27AC">
              <w:rPr>
                <w:rFonts w:ascii="Trebuchet MS" w:eastAsia="Times New Roman" w:hAnsi="Trebuchet MS" w:cs="Calibri"/>
                <w:color w:val="000000"/>
                <w:sz w:val="18"/>
                <w:szCs w:val="18"/>
                <w:lang w:eastAsia="en-GB"/>
              </w:rPr>
              <w:t>125%</w:t>
            </w:r>
          </w:p>
        </w:tc>
        <w:tc>
          <w:tcPr>
            <w:tcW w:w="224" w:type="dxa"/>
            <w:tcBorders>
              <w:top w:val="nil"/>
              <w:left w:val="nil"/>
              <w:bottom w:val="nil"/>
              <w:right w:val="nil"/>
            </w:tcBorders>
            <w:shd w:val="clear" w:color="auto" w:fill="auto"/>
            <w:noWrap/>
            <w:vAlign w:val="bottom"/>
            <w:hideMark/>
          </w:tcPr>
          <w:p w14:paraId="381566FD" w14:textId="77777777" w:rsidR="00457F7B" w:rsidRPr="003C27AC" w:rsidRDefault="00457F7B" w:rsidP="00457F7B">
            <w:pPr>
              <w:spacing w:after="0" w:line="240" w:lineRule="auto"/>
              <w:jc w:val="right"/>
              <w:rPr>
                <w:rFonts w:ascii="Trebuchet MS" w:eastAsia="Times New Roman" w:hAnsi="Trebuchet MS" w:cs="Calibri"/>
                <w:color w:val="000000"/>
                <w:sz w:val="18"/>
                <w:szCs w:val="18"/>
                <w:lang w:eastAsia="en-GB"/>
              </w:rPr>
            </w:pPr>
          </w:p>
        </w:tc>
        <w:tc>
          <w:tcPr>
            <w:tcW w:w="715" w:type="dxa"/>
            <w:tcBorders>
              <w:top w:val="nil"/>
              <w:left w:val="nil"/>
              <w:bottom w:val="nil"/>
              <w:right w:val="nil"/>
            </w:tcBorders>
            <w:shd w:val="clear" w:color="auto" w:fill="auto"/>
            <w:noWrap/>
            <w:vAlign w:val="center"/>
            <w:hideMark/>
          </w:tcPr>
          <w:p w14:paraId="281CD606" w14:textId="77777777" w:rsidR="00457F7B" w:rsidRPr="003C27AC" w:rsidRDefault="00457F7B" w:rsidP="00457F7B">
            <w:pPr>
              <w:spacing w:after="0" w:line="240" w:lineRule="auto"/>
              <w:rPr>
                <w:rFonts w:ascii="Trebuchet MS" w:eastAsia="Times New Roman" w:hAnsi="Trebuchet MS" w:cs="Calibri"/>
                <w:color w:val="000000"/>
                <w:sz w:val="18"/>
                <w:szCs w:val="18"/>
                <w:lang w:eastAsia="en-GB"/>
              </w:rPr>
            </w:pPr>
            <w:r w:rsidRPr="003C27AC">
              <w:rPr>
                <w:rFonts w:ascii="Trebuchet MS" w:eastAsia="Times New Roman" w:hAnsi="Trebuchet MS" w:cs="Calibri"/>
                <w:color w:val="000000"/>
                <w:sz w:val="18"/>
                <w:szCs w:val="18"/>
                <w:lang w:eastAsia="en-GB"/>
              </w:rPr>
              <w:t>target</w:t>
            </w:r>
          </w:p>
        </w:tc>
        <w:tc>
          <w:tcPr>
            <w:tcW w:w="1321" w:type="dxa"/>
            <w:tcBorders>
              <w:top w:val="nil"/>
              <w:left w:val="nil"/>
              <w:bottom w:val="nil"/>
              <w:right w:val="nil"/>
            </w:tcBorders>
            <w:shd w:val="clear" w:color="auto" w:fill="auto"/>
            <w:noWrap/>
            <w:vAlign w:val="center"/>
            <w:hideMark/>
          </w:tcPr>
          <w:p w14:paraId="754B5D0C" w14:textId="77777777" w:rsidR="00457F7B" w:rsidRPr="003C27AC" w:rsidRDefault="00457F7B" w:rsidP="00457F7B">
            <w:pPr>
              <w:spacing w:after="0" w:line="240" w:lineRule="auto"/>
              <w:jc w:val="right"/>
              <w:rPr>
                <w:rFonts w:ascii="Trebuchet MS" w:eastAsia="Times New Roman" w:hAnsi="Trebuchet MS" w:cs="Calibri"/>
                <w:color w:val="000000"/>
                <w:sz w:val="18"/>
                <w:szCs w:val="18"/>
                <w:lang w:eastAsia="en-GB"/>
              </w:rPr>
            </w:pPr>
            <w:r w:rsidRPr="003C27AC">
              <w:rPr>
                <w:rFonts w:ascii="Trebuchet MS" w:eastAsia="Times New Roman" w:hAnsi="Trebuchet MS" w:cs="Calibri"/>
                <w:color w:val="000000"/>
                <w:sz w:val="18"/>
                <w:szCs w:val="18"/>
                <w:lang w:eastAsia="en-GB"/>
              </w:rPr>
              <w:t>140%</w:t>
            </w:r>
          </w:p>
        </w:tc>
        <w:tc>
          <w:tcPr>
            <w:tcW w:w="1136" w:type="dxa"/>
            <w:tcBorders>
              <w:top w:val="nil"/>
              <w:left w:val="nil"/>
              <w:bottom w:val="nil"/>
              <w:right w:val="nil"/>
            </w:tcBorders>
            <w:shd w:val="clear" w:color="auto" w:fill="auto"/>
            <w:noWrap/>
            <w:vAlign w:val="center"/>
            <w:hideMark/>
          </w:tcPr>
          <w:p w14:paraId="673D9064" w14:textId="77777777" w:rsidR="00457F7B" w:rsidRPr="003C27AC" w:rsidRDefault="00457F7B" w:rsidP="00457F7B">
            <w:pPr>
              <w:spacing w:after="0" w:line="240" w:lineRule="auto"/>
              <w:jc w:val="right"/>
              <w:rPr>
                <w:rFonts w:ascii="Trebuchet MS" w:eastAsia="Times New Roman" w:hAnsi="Trebuchet MS" w:cs="Calibri"/>
                <w:color w:val="000000"/>
                <w:sz w:val="18"/>
                <w:szCs w:val="18"/>
                <w:lang w:eastAsia="en-GB"/>
              </w:rPr>
            </w:pPr>
            <w:r w:rsidRPr="003C27AC">
              <w:rPr>
                <w:rFonts w:ascii="Trebuchet MS" w:eastAsia="Times New Roman" w:hAnsi="Trebuchet MS" w:cs="Calibri"/>
                <w:color w:val="000000"/>
                <w:sz w:val="18"/>
                <w:szCs w:val="18"/>
                <w:lang w:eastAsia="en-GB"/>
              </w:rPr>
              <w:t>140%</w:t>
            </w:r>
          </w:p>
        </w:tc>
      </w:tr>
    </w:tbl>
    <w:p w14:paraId="238231FF" w14:textId="77777777" w:rsidR="00590AF1" w:rsidRPr="007337C6" w:rsidRDefault="00590AF1" w:rsidP="009F1084">
      <w:pPr>
        <w:rPr>
          <w:rFonts w:ascii="Trebuchet MS" w:hAnsi="Trebuchet MS" w:cs="Arial"/>
          <w:sz w:val="20"/>
          <w:szCs w:val="20"/>
        </w:rPr>
      </w:pPr>
    </w:p>
    <w:p w14:paraId="699C3823" w14:textId="66BF97ED" w:rsidR="00995EC8" w:rsidRPr="007337C6" w:rsidRDefault="00995EC8" w:rsidP="009F1084">
      <w:pPr>
        <w:rPr>
          <w:rFonts w:ascii="Trebuchet MS" w:hAnsi="Trebuchet MS" w:cs="Arial"/>
          <w:b/>
          <w:bCs/>
          <w:sz w:val="20"/>
          <w:szCs w:val="20"/>
          <w:u w:val="single"/>
        </w:rPr>
      </w:pPr>
      <w:r w:rsidRPr="007337C6">
        <w:rPr>
          <w:rFonts w:ascii="Trebuchet MS" w:hAnsi="Trebuchet MS" w:cs="Arial"/>
          <w:b/>
          <w:bCs/>
          <w:sz w:val="20"/>
          <w:szCs w:val="20"/>
          <w:u w:val="single"/>
        </w:rPr>
        <w:t>Conclusion</w:t>
      </w:r>
    </w:p>
    <w:p w14:paraId="5F344021" w14:textId="4CEAC1D6" w:rsidR="00995EC8" w:rsidRPr="007337C6" w:rsidRDefault="00995EC8" w:rsidP="009F1084">
      <w:pPr>
        <w:rPr>
          <w:rFonts w:ascii="Trebuchet MS" w:hAnsi="Trebuchet MS" w:cs="Arial"/>
          <w:sz w:val="20"/>
          <w:szCs w:val="20"/>
        </w:rPr>
      </w:pPr>
      <w:r w:rsidRPr="007337C6">
        <w:rPr>
          <w:rFonts w:ascii="Trebuchet MS" w:hAnsi="Trebuchet MS" w:cs="Arial"/>
          <w:sz w:val="20"/>
          <w:szCs w:val="20"/>
        </w:rPr>
        <w:t xml:space="preserve">The solvency ratio of AEI pre-transfer of 461% is very high because at 2Q20, AEI has received the initial cash </w:t>
      </w:r>
      <w:r w:rsidR="008E79B6" w:rsidRPr="007337C6">
        <w:rPr>
          <w:rFonts w:ascii="Trebuchet MS" w:hAnsi="Trebuchet MS" w:cs="Arial"/>
          <w:sz w:val="20"/>
          <w:szCs w:val="20"/>
        </w:rPr>
        <w:t xml:space="preserve">capital </w:t>
      </w:r>
      <w:r w:rsidRPr="007337C6">
        <w:rPr>
          <w:rFonts w:ascii="Trebuchet MS" w:hAnsi="Trebuchet MS" w:cs="Arial"/>
          <w:sz w:val="20"/>
          <w:szCs w:val="20"/>
        </w:rPr>
        <w:t>and has not yet started writing business. However, the forecasted liabilities (premium risk calculated on business plan) have been used to calculate the SCR. The solvency ratio of AEI post-transfer is 159%</w:t>
      </w:r>
      <w:r w:rsidR="008E79B6" w:rsidRPr="007337C6">
        <w:rPr>
          <w:rFonts w:ascii="Trebuchet MS" w:hAnsi="Trebuchet MS" w:cs="Arial"/>
          <w:sz w:val="20"/>
          <w:szCs w:val="20"/>
        </w:rPr>
        <w:t>, which is well above the target of 140%</w:t>
      </w:r>
      <w:r w:rsidRPr="007337C6">
        <w:rPr>
          <w:rFonts w:ascii="Trebuchet MS" w:hAnsi="Trebuchet MS" w:cs="Arial"/>
          <w:sz w:val="20"/>
          <w:szCs w:val="20"/>
        </w:rPr>
        <w:t>. The solvency ratios of the transferring and non-transferring portfolios remain very high at 2Q20.</w:t>
      </w:r>
    </w:p>
    <w:p w14:paraId="09944F84" w14:textId="77777777" w:rsidR="00995EC8" w:rsidRPr="007337C6" w:rsidRDefault="00995EC8" w:rsidP="009F1084">
      <w:pPr>
        <w:rPr>
          <w:rFonts w:ascii="Trebuchet MS" w:hAnsi="Trebuchet MS" w:cs="Arial"/>
          <w:sz w:val="20"/>
          <w:szCs w:val="20"/>
        </w:rPr>
      </w:pPr>
    </w:p>
    <w:p w14:paraId="148EA40A" w14:textId="02F8FC83" w:rsidR="003A0756" w:rsidRPr="007337C6" w:rsidRDefault="000100D7" w:rsidP="00421D3C">
      <w:pPr>
        <w:pStyle w:val="Heading1"/>
        <w:numPr>
          <w:ilvl w:val="2"/>
          <w:numId w:val="1"/>
        </w:numPr>
        <w:rPr>
          <w:color w:val="0070C0"/>
        </w:rPr>
      </w:pPr>
      <w:bookmarkStart w:id="76" w:name="_Toc52451880"/>
      <w:r w:rsidRPr="007337C6">
        <w:rPr>
          <w:color w:val="0070C0"/>
        </w:rPr>
        <w:t>3Q20</w:t>
      </w:r>
      <w:r w:rsidR="008E6F57" w:rsidRPr="007337C6">
        <w:rPr>
          <w:color w:val="0070C0"/>
        </w:rPr>
        <w:t xml:space="preserve"> position</w:t>
      </w:r>
      <w:r w:rsidR="00457F7B" w:rsidRPr="007337C6">
        <w:rPr>
          <w:color w:val="0070C0"/>
        </w:rPr>
        <w:t xml:space="preserve"> (with </w:t>
      </w:r>
      <w:r w:rsidR="005E55C1">
        <w:rPr>
          <w:color w:val="0070C0"/>
        </w:rPr>
        <w:t>COVID-19</w:t>
      </w:r>
      <w:r w:rsidR="00457F7B" w:rsidRPr="007337C6">
        <w:rPr>
          <w:color w:val="0070C0"/>
        </w:rPr>
        <w:t>)</w:t>
      </w:r>
      <w:bookmarkEnd w:id="76"/>
    </w:p>
    <w:p w14:paraId="2446611F" w14:textId="77777777" w:rsidR="001B384B" w:rsidRPr="007337C6" w:rsidRDefault="001B384B" w:rsidP="003A0756">
      <w:pPr>
        <w:rPr>
          <w:rFonts w:ascii="Trebuchet MS" w:hAnsi="Trebuchet MS" w:cs="Arial"/>
          <w:sz w:val="20"/>
          <w:szCs w:val="20"/>
        </w:rPr>
      </w:pPr>
    </w:p>
    <w:p w14:paraId="36A34508" w14:textId="768C9292" w:rsidR="003A0756" w:rsidRPr="007337C6" w:rsidRDefault="000100D7" w:rsidP="003A0756">
      <w:pPr>
        <w:rPr>
          <w:rFonts w:ascii="Trebuchet MS" w:hAnsi="Trebuchet MS" w:cs="Arial"/>
          <w:sz w:val="20"/>
          <w:szCs w:val="20"/>
        </w:rPr>
      </w:pPr>
      <w:r w:rsidRPr="007337C6">
        <w:rPr>
          <w:rFonts w:ascii="Trebuchet MS" w:hAnsi="Trebuchet MS" w:cs="Arial"/>
          <w:sz w:val="20"/>
          <w:szCs w:val="20"/>
        </w:rPr>
        <w:t xml:space="preserve">The </w:t>
      </w:r>
      <w:r w:rsidR="003A0756" w:rsidRPr="007337C6">
        <w:rPr>
          <w:rFonts w:ascii="Trebuchet MS" w:hAnsi="Trebuchet MS" w:cs="Arial"/>
          <w:sz w:val="20"/>
          <w:szCs w:val="20"/>
        </w:rPr>
        <w:t>roll forward of capital position</w:t>
      </w:r>
      <w:r w:rsidRPr="007337C6">
        <w:rPr>
          <w:rFonts w:ascii="Trebuchet MS" w:hAnsi="Trebuchet MS" w:cs="Arial"/>
          <w:sz w:val="20"/>
          <w:szCs w:val="20"/>
        </w:rPr>
        <w:t xml:space="preserve"> of AGIL, LGI and AEI</w:t>
      </w:r>
      <w:r w:rsidR="00AA462B" w:rsidRPr="007337C6">
        <w:rPr>
          <w:rFonts w:ascii="Trebuchet MS" w:hAnsi="Trebuchet MS" w:cs="Arial"/>
          <w:sz w:val="20"/>
          <w:szCs w:val="20"/>
        </w:rPr>
        <w:t xml:space="preserve"> to 3Q20,</w:t>
      </w:r>
      <w:r w:rsidRPr="007337C6">
        <w:rPr>
          <w:rFonts w:ascii="Trebuchet MS" w:hAnsi="Trebuchet MS" w:cs="Arial"/>
          <w:sz w:val="20"/>
          <w:szCs w:val="20"/>
        </w:rPr>
        <w:t xml:space="preserve"> on </w:t>
      </w:r>
      <w:r w:rsidR="00094FEE" w:rsidRPr="007337C6">
        <w:rPr>
          <w:rFonts w:ascii="Trebuchet MS" w:hAnsi="Trebuchet MS" w:cs="Arial"/>
          <w:sz w:val="20"/>
          <w:szCs w:val="20"/>
        </w:rPr>
        <w:t xml:space="preserve">before and after </w:t>
      </w:r>
      <w:r w:rsidR="007B0679" w:rsidRPr="007337C6">
        <w:rPr>
          <w:rFonts w:ascii="Trebuchet MS" w:hAnsi="Trebuchet MS" w:cs="Arial"/>
          <w:sz w:val="20"/>
          <w:szCs w:val="20"/>
        </w:rPr>
        <w:t xml:space="preserve">Transfer </w:t>
      </w:r>
      <w:r w:rsidRPr="007337C6">
        <w:rPr>
          <w:rFonts w:ascii="Trebuchet MS" w:hAnsi="Trebuchet MS" w:cs="Arial"/>
          <w:sz w:val="20"/>
          <w:szCs w:val="20"/>
        </w:rPr>
        <w:t xml:space="preserve">basis can be found in </w:t>
      </w:r>
      <w:r w:rsidR="00421D3C" w:rsidRPr="007337C6">
        <w:rPr>
          <w:rFonts w:ascii="Trebuchet MS" w:hAnsi="Trebuchet MS" w:cs="Arial"/>
          <w:sz w:val="20"/>
          <w:szCs w:val="20"/>
        </w:rPr>
        <w:t>the tables below.</w:t>
      </w:r>
      <w:r w:rsidR="001B384B" w:rsidRPr="007337C6">
        <w:rPr>
          <w:rFonts w:ascii="Trebuchet MS" w:hAnsi="Trebuchet MS" w:cs="Arial"/>
          <w:sz w:val="20"/>
          <w:szCs w:val="20"/>
        </w:rPr>
        <w:t xml:space="preserve"> This roll-forward to 3Q20 allows for the planned business of year 2020 and includes the impact of </w:t>
      </w:r>
      <w:r w:rsidR="005E55C1">
        <w:rPr>
          <w:rFonts w:ascii="Trebuchet MS" w:hAnsi="Trebuchet MS" w:cs="Arial"/>
          <w:sz w:val="20"/>
          <w:szCs w:val="20"/>
        </w:rPr>
        <w:t>COVID-19</w:t>
      </w:r>
      <w:r w:rsidR="001B384B" w:rsidRPr="007337C6">
        <w:rPr>
          <w:rFonts w:ascii="Trebuchet MS" w:hAnsi="Trebuchet MS" w:cs="Arial"/>
          <w:sz w:val="20"/>
          <w:szCs w:val="20"/>
        </w:rPr>
        <w:t xml:space="preserve"> (with a 3Q20 view).</w:t>
      </w:r>
      <w:r w:rsidR="000D79FA" w:rsidRPr="007337C6">
        <w:rPr>
          <w:rFonts w:ascii="Trebuchet MS" w:hAnsi="Trebuchet MS" w:cs="Arial"/>
          <w:sz w:val="20"/>
          <w:szCs w:val="20"/>
        </w:rPr>
        <w:t xml:space="preserve"> The roll forward assumes that AGIL will write some business according to the plan of 2020 while LGI does not write new </w:t>
      </w:r>
      <w:r w:rsidR="00D96A25" w:rsidRPr="007337C6">
        <w:rPr>
          <w:rFonts w:ascii="Trebuchet MS" w:hAnsi="Trebuchet MS" w:cs="Arial"/>
          <w:sz w:val="20"/>
          <w:szCs w:val="20"/>
        </w:rPr>
        <w:t xml:space="preserve">business </w:t>
      </w:r>
      <w:r w:rsidR="005F65A3">
        <w:rPr>
          <w:rFonts w:ascii="Trebuchet MS" w:hAnsi="Trebuchet MS" w:cs="Arial"/>
          <w:sz w:val="20"/>
          <w:szCs w:val="20"/>
        </w:rPr>
        <w:t>in 2020</w:t>
      </w:r>
      <w:r w:rsidR="000D79FA" w:rsidRPr="007337C6">
        <w:rPr>
          <w:rFonts w:ascii="Trebuchet MS" w:hAnsi="Trebuchet MS" w:cs="Arial"/>
          <w:sz w:val="20"/>
          <w:szCs w:val="20"/>
        </w:rPr>
        <w:t>.</w:t>
      </w:r>
    </w:p>
    <w:tbl>
      <w:tblPr>
        <w:tblW w:w="10567" w:type="dxa"/>
        <w:tblLook w:val="04A0" w:firstRow="1" w:lastRow="0" w:firstColumn="1" w:lastColumn="0" w:noHBand="0" w:noVBand="1"/>
      </w:tblPr>
      <w:tblGrid>
        <w:gridCol w:w="755"/>
        <w:gridCol w:w="1392"/>
        <w:gridCol w:w="1326"/>
        <w:gridCol w:w="235"/>
        <w:gridCol w:w="755"/>
        <w:gridCol w:w="1311"/>
        <w:gridCol w:w="1246"/>
        <w:gridCol w:w="235"/>
        <w:gridCol w:w="755"/>
        <w:gridCol w:w="1311"/>
        <w:gridCol w:w="1246"/>
      </w:tblGrid>
      <w:tr w:rsidR="00C44839" w:rsidRPr="007337C6" w14:paraId="4CDB0F61" w14:textId="77777777" w:rsidTr="003C27AC">
        <w:trPr>
          <w:trHeight w:val="254"/>
        </w:trPr>
        <w:tc>
          <w:tcPr>
            <w:tcW w:w="3473" w:type="dxa"/>
            <w:gridSpan w:val="3"/>
            <w:tcBorders>
              <w:top w:val="nil"/>
              <w:left w:val="nil"/>
              <w:bottom w:val="nil"/>
              <w:right w:val="nil"/>
            </w:tcBorders>
            <w:shd w:val="clear" w:color="000000" w:fill="44546A"/>
            <w:noWrap/>
            <w:vAlign w:val="bottom"/>
            <w:hideMark/>
          </w:tcPr>
          <w:p w14:paraId="14A3A68C" w14:textId="1F62E008" w:rsidR="00C44839" w:rsidRPr="007337C6" w:rsidRDefault="00C44839" w:rsidP="0022261B">
            <w:pPr>
              <w:spacing w:after="0" w:line="240" w:lineRule="auto"/>
              <w:jc w:val="center"/>
              <w:rPr>
                <w:rFonts w:ascii="Trebuchet MS" w:eastAsia="Times New Roman" w:hAnsi="Trebuchet MS" w:cs="Calibri"/>
                <w:b/>
                <w:bCs/>
                <w:color w:val="FFFFFF"/>
                <w:sz w:val="16"/>
                <w:szCs w:val="16"/>
                <w:lang w:eastAsia="en-GB"/>
              </w:rPr>
            </w:pPr>
            <w:r w:rsidRPr="007337C6">
              <w:rPr>
                <w:rFonts w:ascii="Trebuchet MS" w:eastAsia="Times New Roman" w:hAnsi="Trebuchet MS" w:cs="Calibri"/>
                <w:b/>
                <w:bCs/>
                <w:color w:val="FFFFFF"/>
                <w:sz w:val="16"/>
                <w:szCs w:val="16"/>
                <w:lang w:eastAsia="en-GB"/>
              </w:rPr>
              <w:t xml:space="preserve">3Q 20 With </w:t>
            </w:r>
            <w:r w:rsidR="005E55C1">
              <w:rPr>
                <w:rFonts w:ascii="Trebuchet MS" w:eastAsia="Times New Roman" w:hAnsi="Trebuchet MS" w:cs="Calibri"/>
                <w:b/>
                <w:bCs/>
                <w:color w:val="FFFFFF"/>
                <w:sz w:val="16"/>
                <w:szCs w:val="16"/>
                <w:lang w:eastAsia="en-GB"/>
              </w:rPr>
              <w:t>COVID-19</w:t>
            </w:r>
          </w:p>
        </w:tc>
        <w:tc>
          <w:tcPr>
            <w:tcW w:w="235" w:type="dxa"/>
            <w:tcBorders>
              <w:top w:val="nil"/>
              <w:left w:val="nil"/>
              <w:bottom w:val="nil"/>
              <w:right w:val="nil"/>
            </w:tcBorders>
            <w:shd w:val="clear" w:color="auto" w:fill="auto"/>
            <w:noWrap/>
            <w:vAlign w:val="bottom"/>
            <w:hideMark/>
          </w:tcPr>
          <w:p w14:paraId="6538F8F6" w14:textId="77777777" w:rsidR="00C44839" w:rsidRPr="007337C6" w:rsidRDefault="00C44839" w:rsidP="0022261B">
            <w:pPr>
              <w:spacing w:after="0" w:line="240" w:lineRule="auto"/>
              <w:jc w:val="center"/>
              <w:rPr>
                <w:rFonts w:ascii="Trebuchet MS" w:eastAsia="Times New Roman" w:hAnsi="Trebuchet MS" w:cs="Calibri"/>
                <w:b/>
                <w:bCs/>
                <w:color w:val="FFFFFF"/>
                <w:sz w:val="16"/>
                <w:szCs w:val="16"/>
                <w:lang w:eastAsia="en-GB"/>
              </w:rPr>
            </w:pPr>
          </w:p>
        </w:tc>
        <w:tc>
          <w:tcPr>
            <w:tcW w:w="3312" w:type="dxa"/>
            <w:gridSpan w:val="3"/>
            <w:tcBorders>
              <w:top w:val="nil"/>
              <w:left w:val="nil"/>
              <w:bottom w:val="nil"/>
              <w:right w:val="nil"/>
            </w:tcBorders>
            <w:shd w:val="clear" w:color="000000" w:fill="44546A"/>
            <w:noWrap/>
            <w:vAlign w:val="bottom"/>
            <w:hideMark/>
          </w:tcPr>
          <w:p w14:paraId="55B3E6BC" w14:textId="2F3965EE" w:rsidR="00C44839" w:rsidRPr="007337C6" w:rsidRDefault="00C44839" w:rsidP="0022261B">
            <w:pPr>
              <w:spacing w:after="0" w:line="240" w:lineRule="auto"/>
              <w:jc w:val="center"/>
              <w:rPr>
                <w:rFonts w:ascii="Trebuchet MS" w:eastAsia="Times New Roman" w:hAnsi="Trebuchet MS" w:cs="Calibri"/>
                <w:b/>
                <w:bCs/>
                <w:color w:val="FFFFFF"/>
                <w:sz w:val="16"/>
                <w:szCs w:val="16"/>
                <w:lang w:eastAsia="en-GB"/>
              </w:rPr>
            </w:pPr>
            <w:r w:rsidRPr="007337C6">
              <w:rPr>
                <w:rFonts w:ascii="Trebuchet MS" w:eastAsia="Times New Roman" w:hAnsi="Trebuchet MS" w:cs="Calibri"/>
                <w:b/>
                <w:bCs/>
                <w:color w:val="FFFFFF"/>
                <w:sz w:val="16"/>
                <w:szCs w:val="16"/>
                <w:lang w:eastAsia="en-GB"/>
              </w:rPr>
              <w:t xml:space="preserve">3Q 20 With </w:t>
            </w:r>
            <w:r w:rsidR="005E55C1">
              <w:rPr>
                <w:rFonts w:ascii="Trebuchet MS" w:eastAsia="Times New Roman" w:hAnsi="Trebuchet MS" w:cs="Calibri"/>
                <w:b/>
                <w:bCs/>
                <w:color w:val="FFFFFF"/>
                <w:sz w:val="16"/>
                <w:szCs w:val="16"/>
                <w:lang w:eastAsia="en-GB"/>
              </w:rPr>
              <w:t>COVID-19</w:t>
            </w:r>
          </w:p>
        </w:tc>
        <w:tc>
          <w:tcPr>
            <w:tcW w:w="235" w:type="dxa"/>
            <w:tcBorders>
              <w:top w:val="nil"/>
              <w:left w:val="nil"/>
              <w:bottom w:val="nil"/>
              <w:right w:val="nil"/>
            </w:tcBorders>
            <w:shd w:val="clear" w:color="auto" w:fill="auto"/>
            <w:noWrap/>
            <w:vAlign w:val="bottom"/>
            <w:hideMark/>
          </w:tcPr>
          <w:p w14:paraId="71A78D51" w14:textId="77777777" w:rsidR="00C44839" w:rsidRPr="007337C6" w:rsidRDefault="00C44839" w:rsidP="0022261B">
            <w:pPr>
              <w:spacing w:after="0" w:line="240" w:lineRule="auto"/>
              <w:jc w:val="center"/>
              <w:rPr>
                <w:rFonts w:ascii="Trebuchet MS" w:eastAsia="Times New Roman" w:hAnsi="Trebuchet MS" w:cs="Calibri"/>
                <w:b/>
                <w:bCs/>
                <w:color w:val="FFFFFF"/>
                <w:sz w:val="16"/>
                <w:szCs w:val="16"/>
                <w:lang w:eastAsia="en-GB"/>
              </w:rPr>
            </w:pPr>
          </w:p>
        </w:tc>
        <w:tc>
          <w:tcPr>
            <w:tcW w:w="3312" w:type="dxa"/>
            <w:gridSpan w:val="3"/>
            <w:tcBorders>
              <w:top w:val="nil"/>
              <w:left w:val="nil"/>
              <w:bottom w:val="nil"/>
              <w:right w:val="nil"/>
            </w:tcBorders>
            <w:shd w:val="clear" w:color="000000" w:fill="44546A"/>
            <w:noWrap/>
            <w:vAlign w:val="bottom"/>
            <w:hideMark/>
          </w:tcPr>
          <w:p w14:paraId="43E54028" w14:textId="79AD4DC9" w:rsidR="00C44839" w:rsidRPr="007337C6" w:rsidRDefault="00C44839" w:rsidP="0022261B">
            <w:pPr>
              <w:spacing w:after="0" w:line="240" w:lineRule="auto"/>
              <w:jc w:val="center"/>
              <w:rPr>
                <w:rFonts w:ascii="Trebuchet MS" w:eastAsia="Times New Roman" w:hAnsi="Trebuchet MS" w:cs="Calibri"/>
                <w:b/>
                <w:bCs/>
                <w:color w:val="FFFFFF"/>
                <w:sz w:val="16"/>
                <w:szCs w:val="16"/>
                <w:lang w:eastAsia="en-GB"/>
              </w:rPr>
            </w:pPr>
            <w:r w:rsidRPr="007337C6">
              <w:rPr>
                <w:rFonts w:ascii="Trebuchet MS" w:eastAsia="Times New Roman" w:hAnsi="Trebuchet MS" w:cs="Calibri"/>
                <w:b/>
                <w:bCs/>
                <w:color w:val="FFFFFF"/>
                <w:sz w:val="16"/>
                <w:szCs w:val="16"/>
                <w:lang w:eastAsia="en-GB"/>
              </w:rPr>
              <w:t xml:space="preserve">3Q 20 With </w:t>
            </w:r>
            <w:r w:rsidR="005E55C1">
              <w:rPr>
                <w:rFonts w:ascii="Trebuchet MS" w:eastAsia="Times New Roman" w:hAnsi="Trebuchet MS" w:cs="Calibri"/>
                <w:b/>
                <w:bCs/>
                <w:color w:val="FFFFFF"/>
                <w:sz w:val="16"/>
                <w:szCs w:val="16"/>
                <w:lang w:eastAsia="en-GB"/>
              </w:rPr>
              <w:t>COVID-19</w:t>
            </w:r>
          </w:p>
        </w:tc>
      </w:tr>
      <w:tr w:rsidR="00C44839" w:rsidRPr="007337C6" w14:paraId="0C378A68" w14:textId="77777777" w:rsidTr="003C27AC">
        <w:trPr>
          <w:trHeight w:val="471"/>
        </w:trPr>
        <w:tc>
          <w:tcPr>
            <w:tcW w:w="755" w:type="dxa"/>
            <w:tcBorders>
              <w:top w:val="nil"/>
              <w:left w:val="nil"/>
              <w:bottom w:val="nil"/>
              <w:right w:val="nil"/>
            </w:tcBorders>
            <w:shd w:val="clear" w:color="auto" w:fill="auto"/>
            <w:noWrap/>
            <w:vAlign w:val="center"/>
            <w:hideMark/>
          </w:tcPr>
          <w:p w14:paraId="0AE9D5B5" w14:textId="77777777" w:rsidR="00C44839" w:rsidRPr="007337C6" w:rsidRDefault="00C44839" w:rsidP="0022261B">
            <w:pPr>
              <w:spacing w:after="0" w:line="240" w:lineRule="auto"/>
              <w:rPr>
                <w:rFonts w:ascii="Trebuchet MS" w:eastAsia="Times New Roman" w:hAnsi="Trebuchet MS" w:cs="Times New Roman"/>
                <w:b/>
                <w:bCs/>
                <w:color w:val="000000"/>
                <w:sz w:val="16"/>
                <w:szCs w:val="16"/>
                <w:lang w:eastAsia="en-GB"/>
              </w:rPr>
            </w:pPr>
            <w:r w:rsidRPr="007337C6">
              <w:rPr>
                <w:rFonts w:ascii="Trebuchet MS" w:eastAsia="Times New Roman" w:hAnsi="Trebuchet MS" w:cs="Times New Roman"/>
                <w:b/>
                <w:bCs/>
                <w:color w:val="000000"/>
                <w:sz w:val="16"/>
                <w:szCs w:val="16"/>
                <w:lang w:eastAsia="en-GB"/>
              </w:rPr>
              <w:t>AGIL</w:t>
            </w:r>
          </w:p>
        </w:tc>
        <w:tc>
          <w:tcPr>
            <w:tcW w:w="1392" w:type="dxa"/>
            <w:tcBorders>
              <w:top w:val="nil"/>
              <w:left w:val="nil"/>
              <w:bottom w:val="nil"/>
              <w:right w:val="nil"/>
            </w:tcBorders>
            <w:shd w:val="clear" w:color="auto" w:fill="auto"/>
            <w:noWrap/>
            <w:vAlign w:val="center"/>
            <w:hideMark/>
          </w:tcPr>
          <w:p w14:paraId="47B82F95" w14:textId="77777777" w:rsidR="00C44839" w:rsidRPr="007337C6" w:rsidRDefault="00C44839" w:rsidP="0022261B">
            <w:pPr>
              <w:spacing w:after="0" w:line="240" w:lineRule="auto"/>
              <w:jc w:val="right"/>
              <w:rPr>
                <w:rFonts w:ascii="Trebuchet MS" w:eastAsia="Times New Roman" w:hAnsi="Trebuchet MS" w:cs="Calibri"/>
                <w:color w:val="0070C0"/>
                <w:sz w:val="16"/>
                <w:szCs w:val="16"/>
                <w:lang w:eastAsia="en-GB"/>
              </w:rPr>
            </w:pPr>
            <w:r w:rsidRPr="007337C6">
              <w:rPr>
                <w:rFonts w:ascii="Trebuchet MS" w:eastAsia="Times New Roman" w:hAnsi="Trebuchet MS" w:cs="Calibri"/>
                <w:color w:val="0070C0"/>
                <w:sz w:val="16"/>
                <w:szCs w:val="16"/>
                <w:lang w:eastAsia="en-GB"/>
              </w:rPr>
              <w:t>Before Transfer</w:t>
            </w:r>
          </w:p>
        </w:tc>
        <w:tc>
          <w:tcPr>
            <w:tcW w:w="1324" w:type="dxa"/>
            <w:tcBorders>
              <w:top w:val="nil"/>
              <w:left w:val="nil"/>
              <w:bottom w:val="nil"/>
              <w:right w:val="nil"/>
            </w:tcBorders>
            <w:shd w:val="clear" w:color="auto" w:fill="auto"/>
            <w:noWrap/>
            <w:vAlign w:val="center"/>
            <w:hideMark/>
          </w:tcPr>
          <w:p w14:paraId="00065521" w14:textId="77777777" w:rsidR="00C44839" w:rsidRPr="007337C6" w:rsidRDefault="00C44839" w:rsidP="0022261B">
            <w:pPr>
              <w:spacing w:after="0" w:line="240" w:lineRule="auto"/>
              <w:jc w:val="right"/>
              <w:rPr>
                <w:rFonts w:ascii="Trebuchet MS" w:eastAsia="Times New Roman" w:hAnsi="Trebuchet MS" w:cs="Calibri"/>
                <w:color w:val="0070C0"/>
                <w:sz w:val="16"/>
                <w:szCs w:val="16"/>
                <w:lang w:eastAsia="en-GB"/>
              </w:rPr>
            </w:pPr>
            <w:r w:rsidRPr="007337C6">
              <w:rPr>
                <w:rFonts w:ascii="Trebuchet MS" w:eastAsia="Times New Roman" w:hAnsi="Trebuchet MS" w:cs="Calibri"/>
                <w:color w:val="0070C0"/>
                <w:sz w:val="16"/>
                <w:szCs w:val="16"/>
                <w:lang w:eastAsia="en-GB"/>
              </w:rPr>
              <w:t xml:space="preserve">After </w:t>
            </w:r>
          </w:p>
          <w:p w14:paraId="0DFC78FB" w14:textId="77777777" w:rsidR="00C44839" w:rsidRPr="007337C6" w:rsidRDefault="00C44839" w:rsidP="0022261B">
            <w:pPr>
              <w:spacing w:after="0" w:line="240" w:lineRule="auto"/>
              <w:jc w:val="right"/>
              <w:rPr>
                <w:rFonts w:ascii="Trebuchet MS" w:eastAsia="Times New Roman" w:hAnsi="Trebuchet MS" w:cs="Calibri"/>
                <w:color w:val="0070C0"/>
                <w:sz w:val="16"/>
                <w:szCs w:val="16"/>
                <w:lang w:eastAsia="en-GB"/>
              </w:rPr>
            </w:pPr>
            <w:r w:rsidRPr="007337C6">
              <w:rPr>
                <w:rFonts w:ascii="Trebuchet MS" w:eastAsia="Times New Roman" w:hAnsi="Trebuchet MS" w:cs="Calibri"/>
                <w:color w:val="0070C0"/>
                <w:sz w:val="16"/>
                <w:szCs w:val="16"/>
                <w:lang w:eastAsia="en-GB"/>
              </w:rPr>
              <w:t>Transfer</w:t>
            </w:r>
          </w:p>
        </w:tc>
        <w:tc>
          <w:tcPr>
            <w:tcW w:w="235" w:type="dxa"/>
            <w:tcBorders>
              <w:top w:val="nil"/>
              <w:left w:val="nil"/>
              <w:bottom w:val="nil"/>
              <w:right w:val="nil"/>
            </w:tcBorders>
            <w:shd w:val="clear" w:color="auto" w:fill="auto"/>
            <w:noWrap/>
            <w:vAlign w:val="bottom"/>
            <w:hideMark/>
          </w:tcPr>
          <w:p w14:paraId="29B9EC2F" w14:textId="77777777" w:rsidR="00C44839" w:rsidRPr="007337C6" w:rsidRDefault="00C44839" w:rsidP="0022261B">
            <w:pPr>
              <w:spacing w:after="0" w:line="240" w:lineRule="auto"/>
              <w:rPr>
                <w:rFonts w:ascii="Trebuchet MS" w:eastAsia="Times New Roman" w:hAnsi="Trebuchet MS" w:cs="Calibri"/>
                <w:color w:val="0070C0"/>
                <w:sz w:val="16"/>
                <w:szCs w:val="16"/>
                <w:lang w:eastAsia="en-GB"/>
              </w:rPr>
            </w:pPr>
          </w:p>
        </w:tc>
        <w:tc>
          <w:tcPr>
            <w:tcW w:w="755" w:type="dxa"/>
            <w:tcBorders>
              <w:top w:val="nil"/>
              <w:left w:val="nil"/>
              <w:bottom w:val="nil"/>
              <w:right w:val="nil"/>
            </w:tcBorders>
            <w:shd w:val="clear" w:color="auto" w:fill="auto"/>
            <w:noWrap/>
            <w:vAlign w:val="center"/>
            <w:hideMark/>
          </w:tcPr>
          <w:p w14:paraId="5CA694A4" w14:textId="77777777" w:rsidR="00C44839" w:rsidRPr="007337C6" w:rsidRDefault="00C44839" w:rsidP="0022261B">
            <w:pPr>
              <w:spacing w:after="0" w:line="240" w:lineRule="auto"/>
              <w:rPr>
                <w:rFonts w:ascii="Trebuchet MS" w:eastAsia="Times New Roman" w:hAnsi="Trebuchet MS" w:cs="Times New Roman"/>
                <w:b/>
                <w:bCs/>
                <w:color w:val="000000"/>
                <w:sz w:val="16"/>
                <w:szCs w:val="16"/>
                <w:lang w:eastAsia="en-GB"/>
              </w:rPr>
            </w:pPr>
            <w:r w:rsidRPr="007337C6">
              <w:rPr>
                <w:rFonts w:ascii="Trebuchet MS" w:eastAsia="Times New Roman" w:hAnsi="Trebuchet MS" w:cs="Times New Roman"/>
                <w:b/>
                <w:bCs/>
                <w:color w:val="000000"/>
                <w:sz w:val="16"/>
                <w:szCs w:val="16"/>
                <w:lang w:eastAsia="en-GB"/>
              </w:rPr>
              <w:t>LGI</w:t>
            </w:r>
          </w:p>
        </w:tc>
        <w:tc>
          <w:tcPr>
            <w:tcW w:w="1311" w:type="dxa"/>
            <w:tcBorders>
              <w:top w:val="nil"/>
              <w:left w:val="nil"/>
              <w:bottom w:val="nil"/>
              <w:right w:val="nil"/>
            </w:tcBorders>
            <w:shd w:val="clear" w:color="auto" w:fill="auto"/>
            <w:noWrap/>
            <w:vAlign w:val="center"/>
            <w:hideMark/>
          </w:tcPr>
          <w:p w14:paraId="7DA14FD6" w14:textId="77777777" w:rsidR="00C44839" w:rsidRPr="007337C6" w:rsidRDefault="00C44839" w:rsidP="0022261B">
            <w:pPr>
              <w:spacing w:after="0" w:line="240" w:lineRule="auto"/>
              <w:jc w:val="right"/>
              <w:rPr>
                <w:rFonts w:ascii="Trebuchet MS" w:eastAsia="Times New Roman" w:hAnsi="Trebuchet MS" w:cs="Calibri"/>
                <w:color w:val="0070C0"/>
                <w:sz w:val="16"/>
                <w:szCs w:val="16"/>
                <w:lang w:eastAsia="en-GB"/>
              </w:rPr>
            </w:pPr>
            <w:r w:rsidRPr="007337C6">
              <w:rPr>
                <w:rFonts w:ascii="Trebuchet MS" w:eastAsia="Times New Roman" w:hAnsi="Trebuchet MS" w:cs="Calibri"/>
                <w:color w:val="0070C0"/>
                <w:sz w:val="16"/>
                <w:szCs w:val="16"/>
                <w:lang w:eastAsia="en-GB"/>
              </w:rPr>
              <w:t>Before Transfer</w:t>
            </w:r>
          </w:p>
        </w:tc>
        <w:tc>
          <w:tcPr>
            <w:tcW w:w="1245" w:type="dxa"/>
            <w:tcBorders>
              <w:top w:val="nil"/>
              <w:left w:val="nil"/>
              <w:bottom w:val="nil"/>
              <w:right w:val="nil"/>
            </w:tcBorders>
            <w:shd w:val="clear" w:color="auto" w:fill="auto"/>
            <w:noWrap/>
            <w:vAlign w:val="center"/>
            <w:hideMark/>
          </w:tcPr>
          <w:p w14:paraId="3080B30A" w14:textId="77777777" w:rsidR="00C44839" w:rsidRPr="007337C6" w:rsidRDefault="00C44839" w:rsidP="0022261B">
            <w:pPr>
              <w:spacing w:after="0" w:line="240" w:lineRule="auto"/>
              <w:jc w:val="right"/>
              <w:rPr>
                <w:rFonts w:ascii="Trebuchet MS" w:eastAsia="Times New Roman" w:hAnsi="Trebuchet MS" w:cs="Calibri"/>
                <w:color w:val="0070C0"/>
                <w:sz w:val="16"/>
                <w:szCs w:val="16"/>
                <w:lang w:eastAsia="en-GB"/>
              </w:rPr>
            </w:pPr>
            <w:r w:rsidRPr="007337C6">
              <w:rPr>
                <w:rFonts w:ascii="Trebuchet MS" w:eastAsia="Times New Roman" w:hAnsi="Trebuchet MS" w:cs="Calibri"/>
                <w:color w:val="0070C0"/>
                <w:sz w:val="16"/>
                <w:szCs w:val="16"/>
                <w:lang w:eastAsia="en-GB"/>
              </w:rPr>
              <w:t>After Transfer</w:t>
            </w:r>
          </w:p>
        </w:tc>
        <w:tc>
          <w:tcPr>
            <w:tcW w:w="235" w:type="dxa"/>
            <w:tcBorders>
              <w:top w:val="nil"/>
              <w:left w:val="nil"/>
              <w:bottom w:val="nil"/>
              <w:right w:val="nil"/>
            </w:tcBorders>
            <w:shd w:val="clear" w:color="auto" w:fill="auto"/>
            <w:noWrap/>
            <w:vAlign w:val="bottom"/>
            <w:hideMark/>
          </w:tcPr>
          <w:p w14:paraId="5461487E" w14:textId="77777777" w:rsidR="00C44839" w:rsidRPr="007337C6" w:rsidRDefault="00C44839" w:rsidP="0022261B">
            <w:pPr>
              <w:spacing w:after="0" w:line="240" w:lineRule="auto"/>
              <w:rPr>
                <w:rFonts w:ascii="Trebuchet MS" w:eastAsia="Times New Roman" w:hAnsi="Trebuchet MS" w:cs="Calibri"/>
                <w:color w:val="0070C0"/>
                <w:sz w:val="16"/>
                <w:szCs w:val="16"/>
                <w:lang w:eastAsia="en-GB"/>
              </w:rPr>
            </w:pPr>
          </w:p>
        </w:tc>
        <w:tc>
          <w:tcPr>
            <w:tcW w:w="755" w:type="dxa"/>
            <w:tcBorders>
              <w:top w:val="nil"/>
              <w:left w:val="nil"/>
              <w:bottom w:val="nil"/>
              <w:right w:val="nil"/>
            </w:tcBorders>
            <w:shd w:val="clear" w:color="auto" w:fill="auto"/>
            <w:noWrap/>
            <w:vAlign w:val="center"/>
            <w:hideMark/>
          </w:tcPr>
          <w:p w14:paraId="3326FD04" w14:textId="77777777" w:rsidR="00C44839" w:rsidRPr="007337C6" w:rsidRDefault="00C44839" w:rsidP="0022261B">
            <w:pPr>
              <w:spacing w:after="0" w:line="240" w:lineRule="auto"/>
              <w:rPr>
                <w:rFonts w:ascii="Trebuchet MS" w:eastAsia="Times New Roman" w:hAnsi="Trebuchet MS" w:cs="Times New Roman"/>
                <w:b/>
                <w:bCs/>
                <w:color w:val="000000"/>
                <w:sz w:val="16"/>
                <w:szCs w:val="16"/>
                <w:lang w:eastAsia="en-GB"/>
              </w:rPr>
            </w:pPr>
            <w:r w:rsidRPr="007337C6">
              <w:rPr>
                <w:rFonts w:ascii="Trebuchet MS" w:eastAsia="Times New Roman" w:hAnsi="Trebuchet MS" w:cs="Times New Roman"/>
                <w:b/>
                <w:bCs/>
                <w:color w:val="000000"/>
                <w:sz w:val="16"/>
                <w:szCs w:val="16"/>
                <w:lang w:eastAsia="en-GB"/>
              </w:rPr>
              <w:t>AEI</w:t>
            </w:r>
          </w:p>
        </w:tc>
        <w:tc>
          <w:tcPr>
            <w:tcW w:w="1311" w:type="dxa"/>
            <w:tcBorders>
              <w:top w:val="nil"/>
              <w:left w:val="nil"/>
              <w:bottom w:val="nil"/>
              <w:right w:val="nil"/>
            </w:tcBorders>
            <w:shd w:val="clear" w:color="auto" w:fill="auto"/>
            <w:noWrap/>
            <w:vAlign w:val="center"/>
            <w:hideMark/>
          </w:tcPr>
          <w:p w14:paraId="79C543DD" w14:textId="77777777" w:rsidR="00C44839" w:rsidRPr="007337C6" w:rsidRDefault="00C44839" w:rsidP="0022261B">
            <w:pPr>
              <w:spacing w:after="0" w:line="240" w:lineRule="auto"/>
              <w:jc w:val="right"/>
              <w:rPr>
                <w:rFonts w:ascii="Trebuchet MS" w:eastAsia="Times New Roman" w:hAnsi="Trebuchet MS" w:cs="Calibri"/>
                <w:color w:val="0070C0"/>
                <w:sz w:val="16"/>
                <w:szCs w:val="16"/>
                <w:lang w:eastAsia="en-GB"/>
              </w:rPr>
            </w:pPr>
            <w:r w:rsidRPr="007337C6">
              <w:rPr>
                <w:rFonts w:ascii="Trebuchet MS" w:eastAsia="Times New Roman" w:hAnsi="Trebuchet MS" w:cs="Calibri"/>
                <w:color w:val="0070C0"/>
                <w:sz w:val="16"/>
                <w:szCs w:val="16"/>
                <w:lang w:eastAsia="en-GB"/>
              </w:rPr>
              <w:t>Before Transfer</w:t>
            </w:r>
          </w:p>
        </w:tc>
        <w:tc>
          <w:tcPr>
            <w:tcW w:w="1245" w:type="dxa"/>
            <w:tcBorders>
              <w:top w:val="nil"/>
              <w:left w:val="nil"/>
              <w:bottom w:val="nil"/>
              <w:right w:val="nil"/>
            </w:tcBorders>
            <w:shd w:val="clear" w:color="auto" w:fill="auto"/>
            <w:noWrap/>
            <w:vAlign w:val="center"/>
            <w:hideMark/>
          </w:tcPr>
          <w:p w14:paraId="1FC96515" w14:textId="77777777" w:rsidR="00C44839" w:rsidRPr="007337C6" w:rsidRDefault="00C44839" w:rsidP="0022261B">
            <w:pPr>
              <w:spacing w:after="0" w:line="240" w:lineRule="auto"/>
              <w:jc w:val="right"/>
              <w:rPr>
                <w:rFonts w:ascii="Trebuchet MS" w:eastAsia="Times New Roman" w:hAnsi="Trebuchet MS" w:cs="Calibri"/>
                <w:color w:val="0070C0"/>
                <w:sz w:val="16"/>
                <w:szCs w:val="16"/>
                <w:lang w:eastAsia="en-GB"/>
              </w:rPr>
            </w:pPr>
            <w:r w:rsidRPr="007337C6">
              <w:rPr>
                <w:rFonts w:ascii="Trebuchet MS" w:eastAsia="Times New Roman" w:hAnsi="Trebuchet MS" w:cs="Calibri"/>
                <w:color w:val="0070C0"/>
                <w:sz w:val="16"/>
                <w:szCs w:val="16"/>
                <w:lang w:eastAsia="en-GB"/>
              </w:rPr>
              <w:t>After Transfer</w:t>
            </w:r>
          </w:p>
        </w:tc>
      </w:tr>
      <w:tr w:rsidR="00C44839" w:rsidRPr="007337C6" w14:paraId="40C96455" w14:textId="77777777" w:rsidTr="003C27AC">
        <w:trPr>
          <w:trHeight w:val="72"/>
        </w:trPr>
        <w:tc>
          <w:tcPr>
            <w:tcW w:w="755" w:type="dxa"/>
            <w:tcBorders>
              <w:top w:val="nil"/>
              <w:left w:val="nil"/>
              <w:bottom w:val="nil"/>
              <w:right w:val="nil"/>
            </w:tcBorders>
            <w:shd w:val="clear" w:color="auto" w:fill="auto"/>
            <w:noWrap/>
            <w:vAlign w:val="bottom"/>
            <w:hideMark/>
          </w:tcPr>
          <w:p w14:paraId="49C57EF6" w14:textId="77777777" w:rsidR="00C44839" w:rsidRPr="007337C6" w:rsidRDefault="00C44839" w:rsidP="0022261B">
            <w:pPr>
              <w:spacing w:after="0" w:line="240" w:lineRule="auto"/>
              <w:rPr>
                <w:rFonts w:ascii="Trebuchet MS" w:eastAsia="Times New Roman" w:hAnsi="Trebuchet MS" w:cs="Calibri"/>
                <w:color w:val="0070C0"/>
                <w:sz w:val="16"/>
                <w:szCs w:val="16"/>
                <w:lang w:eastAsia="en-GB"/>
              </w:rPr>
            </w:pPr>
          </w:p>
        </w:tc>
        <w:tc>
          <w:tcPr>
            <w:tcW w:w="1392" w:type="dxa"/>
            <w:tcBorders>
              <w:top w:val="nil"/>
              <w:left w:val="nil"/>
              <w:bottom w:val="nil"/>
              <w:right w:val="nil"/>
            </w:tcBorders>
            <w:shd w:val="clear" w:color="auto" w:fill="auto"/>
            <w:noWrap/>
            <w:vAlign w:val="bottom"/>
            <w:hideMark/>
          </w:tcPr>
          <w:p w14:paraId="38A492A3" w14:textId="77777777" w:rsidR="00C44839" w:rsidRPr="007337C6" w:rsidRDefault="00C44839" w:rsidP="0022261B">
            <w:pPr>
              <w:spacing w:after="0" w:line="240" w:lineRule="auto"/>
              <w:rPr>
                <w:rFonts w:ascii="Trebuchet MS" w:eastAsia="Times New Roman" w:hAnsi="Trebuchet MS" w:cs="Times New Roman"/>
                <w:sz w:val="16"/>
                <w:szCs w:val="16"/>
                <w:lang w:eastAsia="en-GB"/>
              </w:rPr>
            </w:pPr>
          </w:p>
        </w:tc>
        <w:tc>
          <w:tcPr>
            <w:tcW w:w="1324" w:type="dxa"/>
            <w:tcBorders>
              <w:top w:val="nil"/>
              <w:left w:val="nil"/>
              <w:bottom w:val="nil"/>
              <w:right w:val="nil"/>
            </w:tcBorders>
            <w:shd w:val="clear" w:color="auto" w:fill="auto"/>
            <w:noWrap/>
            <w:vAlign w:val="bottom"/>
            <w:hideMark/>
          </w:tcPr>
          <w:p w14:paraId="1C9A46F1" w14:textId="77777777" w:rsidR="00C44839" w:rsidRPr="007337C6" w:rsidRDefault="00C44839" w:rsidP="0022261B">
            <w:pPr>
              <w:spacing w:after="0" w:line="240" w:lineRule="auto"/>
              <w:rPr>
                <w:rFonts w:ascii="Trebuchet MS" w:eastAsia="Times New Roman" w:hAnsi="Trebuchet MS" w:cs="Times New Roman"/>
                <w:sz w:val="16"/>
                <w:szCs w:val="16"/>
                <w:lang w:eastAsia="en-GB"/>
              </w:rPr>
            </w:pPr>
          </w:p>
        </w:tc>
        <w:tc>
          <w:tcPr>
            <w:tcW w:w="235" w:type="dxa"/>
            <w:tcBorders>
              <w:top w:val="nil"/>
              <w:left w:val="nil"/>
              <w:bottom w:val="nil"/>
              <w:right w:val="nil"/>
            </w:tcBorders>
            <w:shd w:val="clear" w:color="auto" w:fill="auto"/>
            <w:noWrap/>
            <w:vAlign w:val="bottom"/>
            <w:hideMark/>
          </w:tcPr>
          <w:p w14:paraId="65A04937" w14:textId="77777777" w:rsidR="00C44839" w:rsidRPr="007337C6" w:rsidRDefault="00C44839" w:rsidP="0022261B">
            <w:pPr>
              <w:spacing w:after="0" w:line="240" w:lineRule="auto"/>
              <w:rPr>
                <w:rFonts w:ascii="Trebuchet MS" w:eastAsia="Times New Roman" w:hAnsi="Trebuchet MS" w:cs="Times New Roman"/>
                <w:sz w:val="16"/>
                <w:szCs w:val="16"/>
                <w:lang w:eastAsia="en-GB"/>
              </w:rPr>
            </w:pPr>
          </w:p>
        </w:tc>
        <w:tc>
          <w:tcPr>
            <w:tcW w:w="755" w:type="dxa"/>
            <w:tcBorders>
              <w:top w:val="nil"/>
              <w:left w:val="nil"/>
              <w:bottom w:val="nil"/>
              <w:right w:val="nil"/>
            </w:tcBorders>
            <w:shd w:val="clear" w:color="auto" w:fill="auto"/>
            <w:noWrap/>
            <w:vAlign w:val="bottom"/>
            <w:hideMark/>
          </w:tcPr>
          <w:p w14:paraId="5125AFA0" w14:textId="77777777" w:rsidR="00C44839" w:rsidRPr="007337C6" w:rsidRDefault="00C44839" w:rsidP="0022261B">
            <w:pPr>
              <w:spacing w:after="0" w:line="240" w:lineRule="auto"/>
              <w:rPr>
                <w:rFonts w:ascii="Trebuchet MS" w:eastAsia="Times New Roman" w:hAnsi="Trebuchet MS" w:cs="Times New Roman"/>
                <w:sz w:val="16"/>
                <w:szCs w:val="16"/>
                <w:lang w:eastAsia="en-GB"/>
              </w:rPr>
            </w:pPr>
          </w:p>
        </w:tc>
        <w:tc>
          <w:tcPr>
            <w:tcW w:w="1311" w:type="dxa"/>
            <w:tcBorders>
              <w:top w:val="nil"/>
              <w:left w:val="nil"/>
              <w:bottom w:val="nil"/>
              <w:right w:val="nil"/>
            </w:tcBorders>
            <w:shd w:val="clear" w:color="auto" w:fill="auto"/>
            <w:noWrap/>
            <w:vAlign w:val="bottom"/>
            <w:hideMark/>
          </w:tcPr>
          <w:p w14:paraId="2DCF7580" w14:textId="77777777" w:rsidR="00C44839" w:rsidRPr="007337C6" w:rsidRDefault="00C44839" w:rsidP="0022261B">
            <w:pPr>
              <w:spacing w:after="0" w:line="240" w:lineRule="auto"/>
              <w:rPr>
                <w:rFonts w:ascii="Trebuchet MS" w:eastAsia="Times New Roman" w:hAnsi="Trebuchet MS" w:cs="Times New Roman"/>
                <w:sz w:val="16"/>
                <w:szCs w:val="16"/>
                <w:lang w:eastAsia="en-GB"/>
              </w:rPr>
            </w:pPr>
          </w:p>
        </w:tc>
        <w:tc>
          <w:tcPr>
            <w:tcW w:w="1245" w:type="dxa"/>
            <w:tcBorders>
              <w:top w:val="nil"/>
              <w:left w:val="nil"/>
              <w:bottom w:val="nil"/>
              <w:right w:val="nil"/>
            </w:tcBorders>
            <w:shd w:val="clear" w:color="auto" w:fill="auto"/>
            <w:noWrap/>
            <w:vAlign w:val="bottom"/>
            <w:hideMark/>
          </w:tcPr>
          <w:p w14:paraId="0ADB8A51" w14:textId="77777777" w:rsidR="00C44839" w:rsidRPr="007337C6" w:rsidRDefault="00C44839" w:rsidP="0022261B">
            <w:pPr>
              <w:spacing w:after="0" w:line="240" w:lineRule="auto"/>
              <w:rPr>
                <w:rFonts w:ascii="Trebuchet MS" w:eastAsia="Times New Roman" w:hAnsi="Trebuchet MS" w:cs="Times New Roman"/>
                <w:sz w:val="16"/>
                <w:szCs w:val="16"/>
                <w:lang w:eastAsia="en-GB"/>
              </w:rPr>
            </w:pPr>
          </w:p>
        </w:tc>
        <w:tc>
          <w:tcPr>
            <w:tcW w:w="235" w:type="dxa"/>
            <w:tcBorders>
              <w:top w:val="nil"/>
              <w:left w:val="nil"/>
              <w:bottom w:val="nil"/>
              <w:right w:val="nil"/>
            </w:tcBorders>
            <w:shd w:val="clear" w:color="auto" w:fill="auto"/>
            <w:noWrap/>
            <w:vAlign w:val="bottom"/>
            <w:hideMark/>
          </w:tcPr>
          <w:p w14:paraId="2355FE99" w14:textId="77777777" w:rsidR="00C44839" w:rsidRPr="007337C6" w:rsidRDefault="00C44839" w:rsidP="0022261B">
            <w:pPr>
              <w:spacing w:after="0" w:line="240" w:lineRule="auto"/>
              <w:rPr>
                <w:rFonts w:ascii="Trebuchet MS" w:eastAsia="Times New Roman" w:hAnsi="Trebuchet MS" w:cs="Times New Roman"/>
                <w:sz w:val="16"/>
                <w:szCs w:val="16"/>
                <w:lang w:eastAsia="en-GB"/>
              </w:rPr>
            </w:pPr>
          </w:p>
        </w:tc>
        <w:tc>
          <w:tcPr>
            <w:tcW w:w="755" w:type="dxa"/>
            <w:tcBorders>
              <w:top w:val="nil"/>
              <w:left w:val="nil"/>
              <w:bottom w:val="nil"/>
              <w:right w:val="nil"/>
            </w:tcBorders>
            <w:shd w:val="clear" w:color="auto" w:fill="auto"/>
            <w:noWrap/>
            <w:vAlign w:val="bottom"/>
            <w:hideMark/>
          </w:tcPr>
          <w:p w14:paraId="3514FDC3" w14:textId="77777777" w:rsidR="00C44839" w:rsidRPr="007337C6" w:rsidRDefault="00C44839" w:rsidP="0022261B">
            <w:pPr>
              <w:spacing w:after="0" w:line="240" w:lineRule="auto"/>
              <w:rPr>
                <w:rFonts w:ascii="Trebuchet MS" w:eastAsia="Times New Roman" w:hAnsi="Trebuchet MS" w:cs="Times New Roman"/>
                <w:sz w:val="16"/>
                <w:szCs w:val="16"/>
                <w:lang w:eastAsia="en-GB"/>
              </w:rPr>
            </w:pPr>
          </w:p>
        </w:tc>
        <w:tc>
          <w:tcPr>
            <w:tcW w:w="1311" w:type="dxa"/>
            <w:tcBorders>
              <w:top w:val="nil"/>
              <w:left w:val="nil"/>
              <w:bottom w:val="nil"/>
              <w:right w:val="nil"/>
            </w:tcBorders>
            <w:shd w:val="clear" w:color="auto" w:fill="auto"/>
            <w:noWrap/>
            <w:vAlign w:val="bottom"/>
            <w:hideMark/>
          </w:tcPr>
          <w:p w14:paraId="0157F4F1" w14:textId="77777777" w:rsidR="00C44839" w:rsidRPr="007337C6" w:rsidRDefault="00C44839" w:rsidP="0022261B">
            <w:pPr>
              <w:spacing w:after="0" w:line="240" w:lineRule="auto"/>
              <w:rPr>
                <w:rFonts w:ascii="Trebuchet MS" w:eastAsia="Times New Roman" w:hAnsi="Trebuchet MS" w:cs="Times New Roman"/>
                <w:sz w:val="16"/>
                <w:szCs w:val="16"/>
                <w:lang w:eastAsia="en-GB"/>
              </w:rPr>
            </w:pPr>
          </w:p>
        </w:tc>
        <w:tc>
          <w:tcPr>
            <w:tcW w:w="1245" w:type="dxa"/>
            <w:tcBorders>
              <w:top w:val="nil"/>
              <w:left w:val="nil"/>
              <w:bottom w:val="nil"/>
              <w:right w:val="nil"/>
            </w:tcBorders>
            <w:shd w:val="clear" w:color="auto" w:fill="auto"/>
            <w:noWrap/>
            <w:vAlign w:val="bottom"/>
            <w:hideMark/>
          </w:tcPr>
          <w:p w14:paraId="265C5F86" w14:textId="77777777" w:rsidR="00C44839" w:rsidRPr="007337C6" w:rsidRDefault="00C44839" w:rsidP="0022261B">
            <w:pPr>
              <w:spacing w:after="0" w:line="240" w:lineRule="auto"/>
              <w:rPr>
                <w:rFonts w:ascii="Trebuchet MS" w:eastAsia="Times New Roman" w:hAnsi="Trebuchet MS" w:cs="Times New Roman"/>
                <w:sz w:val="16"/>
                <w:szCs w:val="16"/>
                <w:lang w:eastAsia="en-GB"/>
              </w:rPr>
            </w:pPr>
          </w:p>
        </w:tc>
      </w:tr>
      <w:tr w:rsidR="00CC5E72" w:rsidRPr="007337C6" w14:paraId="4233237E" w14:textId="77777777" w:rsidTr="003C27AC">
        <w:trPr>
          <w:trHeight w:val="254"/>
        </w:trPr>
        <w:tc>
          <w:tcPr>
            <w:tcW w:w="755" w:type="dxa"/>
            <w:tcBorders>
              <w:top w:val="nil"/>
              <w:left w:val="nil"/>
              <w:bottom w:val="single" w:sz="8" w:space="0" w:color="0070C0"/>
              <w:right w:val="nil"/>
            </w:tcBorders>
            <w:shd w:val="clear" w:color="auto" w:fill="auto"/>
            <w:noWrap/>
            <w:vAlign w:val="center"/>
            <w:hideMark/>
          </w:tcPr>
          <w:p w14:paraId="091AEF41" w14:textId="03EF56E0" w:rsidR="00CC5E72" w:rsidRPr="007337C6" w:rsidRDefault="00CC5E72" w:rsidP="00CC5E72">
            <w:pPr>
              <w:spacing w:after="0" w:line="240" w:lineRule="auto"/>
              <w:rPr>
                <w:rFonts w:ascii="Trebuchet MS" w:eastAsia="Times New Roman" w:hAnsi="Trebuchet MS" w:cs="Calibri"/>
                <w:color w:val="000000"/>
                <w:sz w:val="16"/>
                <w:szCs w:val="16"/>
                <w:lang w:eastAsia="en-GB"/>
              </w:rPr>
            </w:pPr>
            <w:r w:rsidRPr="007337C6">
              <w:rPr>
                <w:rFonts w:ascii="Trebuchet MS" w:hAnsi="Trebuchet MS" w:cs="Calibri"/>
                <w:color w:val="000000"/>
                <w:sz w:val="18"/>
                <w:szCs w:val="18"/>
              </w:rPr>
              <w:t>SCR %</w:t>
            </w:r>
          </w:p>
        </w:tc>
        <w:tc>
          <w:tcPr>
            <w:tcW w:w="1392" w:type="dxa"/>
            <w:tcBorders>
              <w:top w:val="nil"/>
              <w:left w:val="nil"/>
              <w:bottom w:val="single" w:sz="8" w:space="0" w:color="0070C0"/>
              <w:right w:val="nil"/>
            </w:tcBorders>
            <w:shd w:val="clear" w:color="auto" w:fill="auto"/>
            <w:noWrap/>
            <w:vAlign w:val="center"/>
            <w:hideMark/>
          </w:tcPr>
          <w:p w14:paraId="69594EA7" w14:textId="0FE47751" w:rsidR="00CC5E72" w:rsidRPr="007337C6" w:rsidRDefault="00CC5E72" w:rsidP="00CC5E72">
            <w:pPr>
              <w:spacing w:after="0" w:line="240" w:lineRule="auto"/>
              <w:jc w:val="right"/>
              <w:rPr>
                <w:rFonts w:ascii="Trebuchet MS" w:eastAsia="Times New Roman" w:hAnsi="Trebuchet MS" w:cs="Calibri"/>
                <w:color w:val="000000"/>
                <w:sz w:val="16"/>
                <w:szCs w:val="16"/>
                <w:lang w:eastAsia="en-GB"/>
              </w:rPr>
            </w:pPr>
            <w:r w:rsidRPr="007337C6">
              <w:rPr>
                <w:rFonts w:ascii="Trebuchet MS" w:hAnsi="Trebuchet MS" w:cs="Calibri"/>
                <w:color w:val="000000"/>
                <w:sz w:val="18"/>
                <w:szCs w:val="18"/>
              </w:rPr>
              <w:t>171%</w:t>
            </w:r>
          </w:p>
        </w:tc>
        <w:tc>
          <w:tcPr>
            <w:tcW w:w="1324" w:type="dxa"/>
            <w:tcBorders>
              <w:top w:val="nil"/>
              <w:left w:val="nil"/>
              <w:bottom w:val="single" w:sz="8" w:space="0" w:color="0070C0"/>
              <w:right w:val="nil"/>
            </w:tcBorders>
            <w:shd w:val="clear" w:color="auto" w:fill="auto"/>
            <w:noWrap/>
            <w:vAlign w:val="center"/>
            <w:hideMark/>
          </w:tcPr>
          <w:p w14:paraId="222B45CB" w14:textId="4AC20AC8" w:rsidR="00CC5E72" w:rsidRPr="007337C6" w:rsidRDefault="00CC5E72" w:rsidP="00CC5E72">
            <w:pPr>
              <w:spacing w:after="0" w:line="240" w:lineRule="auto"/>
              <w:jc w:val="right"/>
              <w:rPr>
                <w:rFonts w:ascii="Trebuchet MS" w:eastAsia="Times New Roman" w:hAnsi="Trebuchet MS" w:cs="Calibri"/>
                <w:color w:val="000000"/>
                <w:sz w:val="16"/>
                <w:szCs w:val="16"/>
                <w:lang w:eastAsia="en-GB"/>
              </w:rPr>
            </w:pPr>
            <w:r w:rsidRPr="007337C6">
              <w:rPr>
                <w:rFonts w:ascii="Trebuchet MS" w:hAnsi="Trebuchet MS" w:cs="Calibri"/>
                <w:color w:val="000000"/>
                <w:sz w:val="18"/>
                <w:szCs w:val="18"/>
              </w:rPr>
              <w:t>205%</w:t>
            </w:r>
          </w:p>
        </w:tc>
        <w:tc>
          <w:tcPr>
            <w:tcW w:w="235" w:type="dxa"/>
            <w:tcBorders>
              <w:top w:val="nil"/>
              <w:left w:val="nil"/>
              <w:bottom w:val="nil"/>
              <w:right w:val="nil"/>
            </w:tcBorders>
            <w:shd w:val="clear" w:color="auto" w:fill="auto"/>
            <w:noWrap/>
            <w:vAlign w:val="bottom"/>
            <w:hideMark/>
          </w:tcPr>
          <w:p w14:paraId="71215083" w14:textId="77777777" w:rsidR="00CC5E72" w:rsidRPr="007337C6" w:rsidRDefault="00CC5E72" w:rsidP="00CC5E72">
            <w:pPr>
              <w:spacing w:after="0" w:line="240" w:lineRule="auto"/>
              <w:jc w:val="right"/>
              <w:rPr>
                <w:rFonts w:ascii="Trebuchet MS" w:eastAsia="Times New Roman" w:hAnsi="Trebuchet MS" w:cs="Calibri"/>
                <w:color w:val="000000"/>
                <w:sz w:val="16"/>
                <w:szCs w:val="16"/>
                <w:lang w:eastAsia="en-GB"/>
              </w:rPr>
            </w:pPr>
          </w:p>
        </w:tc>
        <w:tc>
          <w:tcPr>
            <w:tcW w:w="755" w:type="dxa"/>
            <w:tcBorders>
              <w:top w:val="nil"/>
              <w:left w:val="nil"/>
              <w:bottom w:val="single" w:sz="8" w:space="0" w:color="0070C0"/>
              <w:right w:val="nil"/>
            </w:tcBorders>
            <w:shd w:val="clear" w:color="auto" w:fill="auto"/>
            <w:noWrap/>
            <w:vAlign w:val="center"/>
            <w:hideMark/>
          </w:tcPr>
          <w:p w14:paraId="261AB4A4" w14:textId="112488E1" w:rsidR="00CC5E72" w:rsidRPr="007337C6" w:rsidRDefault="00CC5E72" w:rsidP="00CC5E72">
            <w:pPr>
              <w:spacing w:after="0" w:line="240" w:lineRule="auto"/>
              <w:rPr>
                <w:rFonts w:ascii="Trebuchet MS" w:eastAsia="Times New Roman" w:hAnsi="Trebuchet MS" w:cs="Calibri"/>
                <w:color w:val="000000"/>
                <w:sz w:val="16"/>
                <w:szCs w:val="16"/>
                <w:lang w:eastAsia="en-GB"/>
              </w:rPr>
            </w:pPr>
            <w:r w:rsidRPr="007337C6">
              <w:rPr>
                <w:rFonts w:ascii="Trebuchet MS" w:hAnsi="Trebuchet MS" w:cs="Calibri"/>
                <w:color w:val="000000"/>
                <w:sz w:val="18"/>
                <w:szCs w:val="18"/>
              </w:rPr>
              <w:t>SCR %</w:t>
            </w:r>
          </w:p>
        </w:tc>
        <w:tc>
          <w:tcPr>
            <w:tcW w:w="1311" w:type="dxa"/>
            <w:tcBorders>
              <w:top w:val="nil"/>
              <w:left w:val="nil"/>
              <w:bottom w:val="single" w:sz="8" w:space="0" w:color="0070C0"/>
              <w:right w:val="nil"/>
            </w:tcBorders>
            <w:shd w:val="clear" w:color="auto" w:fill="auto"/>
            <w:noWrap/>
            <w:vAlign w:val="center"/>
            <w:hideMark/>
          </w:tcPr>
          <w:p w14:paraId="6990C594" w14:textId="41A3DAA2" w:rsidR="00CC5E72" w:rsidRPr="007337C6" w:rsidRDefault="00CC5E72" w:rsidP="00CC5E72">
            <w:pPr>
              <w:spacing w:after="0" w:line="240" w:lineRule="auto"/>
              <w:jc w:val="right"/>
              <w:rPr>
                <w:rFonts w:ascii="Trebuchet MS" w:eastAsia="Times New Roman" w:hAnsi="Trebuchet MS" w:cs="Calibri"/>
                <w:color w:val="000000"/>
                <w:sz w:val="16"/>
                <w:szCs w:val="16"/>
                <w:lang w:eastAsia="en-GB"/>
              </w:rPr>
            </w:pPr>
            <w:r w:rsidRPr="007337C6">
              <w:rPr>
                <w:rFonts w:ascii="Trebuchet MS" w:hAnsi="Trebuchet MS" w:cs="Calibri"/>
                <w:color w:val="000000"/>
                <w:sz w:val="18"/>
                <w:szCs w:val="18"/>
              </w:rPr>
              <w:t>230%</w:t>
            </w:r>
          </w:p>
        </w:tc>
        <w:tc>
          <w:tcPr>
            <w:tcW w:w="1245" w:type="dxa"/>
            <w:tcBorders>
              <w:top w:val="nil"/>
              <w:left w:val="nil"/>
              <w:bottom w:val="single" w:sz="8" w:space="0" w:color="0070C0"/>
              <w:right w:val="nil"/>
            </w:tcBorders>
            <w:shd w:val="clear" w:color="auto" w:fill="auto"/>
            <w:noWrap/>
            <w:vAlign w:val="center"/>
            <w:hideMark/>
          </w:tcPr>
          <w:p w14:paraId="71F89BF9" w14:textId="343071F0" w:rsidR="00CC5E72" w:rsidRPr="007337C6" w:rsidRDefault="00CC5E72" w:rsidP="00CC5E72">
            <w:pPr>
              <w:spacing w:after="0" w:line="240" w:lineRule="auto"/>
              <w:jc w:val="right"/>
              <w:rPr>
                <w:rFonts w:ascii="Trebuchet MS" w:eastAsia="Times New Roman" w:hAnsi="Trebuchet MS" w:cs="Calibri"/>
                <w:color w:val="000000"/>
                <w:sz w:val="16"/>
                <w:szCs w:val="16"/>
                <w:lang w:eastAsia="en-GB"/>
              </w:rPr>
            </w:pPr>
            <w:r w:rsidRPr="007337C6">
              <w:rPr>
                <w:rFonts w:ascii="Trebuchet MS" w:hAnsi="Trebuchet MS" w:cs="Calibri"/>
                <w:color w:val="000000"/>
                <w:sz w:val="18"/>
                <w:szCs w:val="18"/>
              </w:rPr>
              <w:t>2</w:t>
            </w:r>
            <w:r w:rsidR="00AC1161">
              <w:rPr>
                <w:rFonts w:ascii="Trebuchet MS" w:hAnsi="Trebuchet MS" w:cs="Calibri"/>
                <w:color w:val="000000"/>
                <w:sz w:val="18"/>
                <w:szCs w:val="18"/>
              </w:rPr>
              <w:t>54</w:t>
            </w:r>
            <w:r w:rsidRPr="007337C6">
              <w:rPr>
                <w:rFonts w:ascii="Trebuchet MS" w:hAnsi="Trebuchet MS" w:cs="Calibri"/>
                <w:color w:val="000000"/>
                <w:sz w:val="18"/>
                <w:szCs w:val="18"/>
              </w:rPr>
              <w:t>%</w:t>
            </w:r>
          </w:p>
        </w:tc>
        <w:tc>
          <w:tcPr>
            <w:tcW w:w="235" w:type="dxa"/>
            <w:tcBorders>
              <w:top w:val="nil"/>
              <w:left w:val="nil"/>
              <w:bottom w:val="nil"/>
              <w:right w:val="nil"/>
            </w:tcBorders>
            <w:shd w:val="clear" w:color="auto" w:fill="auto"/>
            <w:noWrap/>
            <w:vAlign w:val="bottom"/>
            <w:hideMark/>
          </w:tcPr>
          <w:p w14:paraId="69849E29" w14:textId="77777777" w:rsidR="00CC5E72" w:rsidRPr="007337C6" w:rsidRDefault="00CC5E72" w:rsidP="00CC5E72">
            <w:pPr>
              <w:spacing w:after="0" w:line="240" w:lineRule="auto"/>
              <w:jc w:val="right"/>
              <w:rPr>
                <w:rFonts w:ascii="Trebuchet MS" w:eastAsia="Times New Roman" w:hAnsi="Trebuchet MS" w:cs="Calibri"/>
                <w:color w:val="000000"/>
                <w:sz w:val="16"/>
                <w:szCs w:val="16"/>
                <w:lang w:eastAsia="en-GB"/>
              </w:rPr>
            </w:pPr>
          </w:p>
        </w:tc>
        <w:tc>
          <w:tcPr>
            <w:tcW w:w="755" w:type="dxa"/>
            <w:tcBorders>
              <w:top w:val="nil"/>
              <w:left w:val="nil"/>
              <w:bottom w:val="single" w:sz="8" w:space="0" w:color="0070C0"/>
              <w:right w:val="nil"/>
            </w:tcBorders>
            <w:shd w:val="clear" w:color="auto" w:fill="auto"/>
            <w:noWrap/>
            <w:vAlign w:val="center"/>
            <w:hideMark/>
          </w:tcPr>
          <w:p w14:paraId="1FB46ABB" w14:textId="20A8F13C" w:rsidR="00CC5E72" w:rsidRPr="007337C6" w:rsidRDefault="00CC5E72" w:rsidP="00CC5E72">
            <w:pPr>
              <w:spacing w:after="0" w:line="240" w:lineRule="auto"/>
              <w:rPr>
                <w:rFonts w:ascii="Trebuchet MS" w:eastAsia="Times New Roman" w:hAnsi="Trebuchet MS" w:cs="Calibri"/>
                <w:color w:val="000000"/>
                <w:sz w:val="16"/>
                <w:szCs w:val="16"/>
                <w:lang w:eastAsia="en-GB"/>
              </w:rPr>
            </w:pPr>
            <w:r w:rsidRPr="007337C6">
              <w:rPr>
                <w:rFonts w:ascii="Trebuchet MS" w:hAnsi="Trebuchet MS" w:cs="Calibri"/>
                <w:color w:val="000000"/>
                <w:sz w:val="18"/>
                <w:szCs w:val="18"/>
              </w:rPr>
              <w:t>SCR %</w:t>
            </w:r>
          </w:p>
        </w:tc>
        <w:tc>
          <w:tcPr>
            <w:tcW w:w="1311" w:type="dxa"/>
            <w:tcBorders>
              <w:top w:val="nil"/>
              <w:left w:val="nil"/>
              <w:bottom w:val="single" w:sz="8" w:space="0" w:color="0070C0"/>
              <w:right w:val="nil"/>
            </w:tcBorders>
            <w:shd w:val="clear" w:color="auto" w:fill="auto"/>
            <w:noWrap/>
            <w:vAlign w:val="center"/>
            <w:hideMark/>
          </w:tcPr>
          <w:p w14:paraId="676F479F" w14:textId="0C3B57C0" w:rsidR="00CC5E72" w:rsidRPr="007337C6" w:rsidRDefault="00CC5E72" w:rsidP="00CC5E72">
            <w:pPr>
              <w:spacing w:after="0" w:line="240" w:lineRule="auto"/>
              <w:jc w:val="right"/>
              <w:rPr>
                <w:rFonts w:ascii="Trebuchet MS" w:eastAsia="Times New Roman" w:hAnsi="Trebuchet MS" w:cs="Calibri"/>
                <w:color w:val="000000"/>
                <w:sz w:val="16"/>
                <w:szCs w:val="16"/>
                <w:lang w:eastAsia="en-GB"/>
              </w:rPr>
            </w:pPr>
            <w:r w:rsidRPr="007337C6">
              <w:rPr>
                <w:rFonts w:ascii="Trebuchet MS" w:hAnsi="Trebuchet MS" w:cs="Calibri"/>
                <w:color w:val="000000"/>
                <w:sz w:val="18"/>
                <w:szCs w:val="18"/>
              </w:rPr>
              <w:t>222%</w:t>
            </w:r>
          </w:p>
        </w:tc>
        <w:tc>
          <w:tcPr>
            <w:tcW w:w="1245" w:type="dxa"/>
            <w:tcBorders>
              <w:top w:val="nil"/>
              <w:left w:val="nil"/>
              <w:bottom w:val="single" w:sz="8" w:space="0" w:color="0070C0"/>
              <w:right w:val="nil"/>
            </w:tcBorders>
            <w:shd w:val="clear" w:color="auto" w:fill="auto"/>
            <w:noWrap/>
            <w:vAlign w:val="center"/>
            <w:hideMark/>
          </w:tcPr>
          <w:p w14:paraId="331B87BD" w14:textId="5BA22921" w:rsidR="00CC5E72" w:rsidRPr="007337C6" w:rsidRDefault="00CC5E72" w:rsidP="00CC5E72">
            <w:pPr>
              <w:spacing w:after="0" w:line="240" w:lineRule="auto"/>
              <w:jc w:val="right"/>
              <w:rPr>
                <w:rFonts w:ascii="Trebuchet MS" w:eastAsia="Times New Roman" w:hAnsi="Trebuchet MS" w:cs="Calibri"/>
                <w:color w:val="000000"/>
                <w:sz w:val="16"/>
                <w:szCs w:val="16"/>
                <w:lang w:eastAsia="en-GB"/>
              </w:rPr>
            </w:pPr>
            <w:r w:rsidRPr="007337C6">
              <w:rPr>
                <w:rFonts w:ascii="Trebuchet MS" w:hAnsi="Trebuchet MS" w:cs="Calibri"/>
                <w:color w:val="000000"/>
                <w:sz w:val="18"/>
                <w:szCs w:val="18"/>
              </w:rPr>
              <w:t>153%</w:t>
            </w:r>
          </w:p>
        </w:tc>
      </w:tr>
      <w:tr w:rsidR="00CC5E72" w:rsidRPr="007337C6" w14:paraId="470AC3D0" w14:textId="77777777" w:rsidTr="003C27AC">
        <w:trPr>
          <w:trHeight w:val="244"/>
        </w:trPr>
        <w:tc>
          <w:tcPr>
            <w:tcW w:w="755" w:type="dxa"/>
            <w:tcBorders>
              <w:top w:val="nil"/>
              <w:left w:val="nil"/>
              <w:bottom w:val="nil"/>
              <w:right w:val="nil"/>
            </w:tcBorders>
            <w:shd w:val="clear" w:color="auto" w:fill="auto"/>
            <w:noWrap/>
            <w:vAlign w:val="center"/>
            <w:hideMark/>
          </w:tcPr>
          <w:p w14:paraId="3EE57DB4" w14:textId="7710C2A8" w:rsidR="00CC5E72" w:rsidRPr="007337C6" w:rsidRDefault="00CC5E72" w:rsidP="00CC5E72">
            <w:pPr>
              <w:spacing w:after="0" w:line="240" w:lineRule="auto"/>
              <w:rPr>
                <w:rFonts w:ascii="Trebuchet MS" w:eastAsia="Times New Roman" w:hAnsi="Trebuchet MS" w:cs="Calibri"/>
                <w:color w:val="000000"/>
                <w:sz w:val="16"/>
                <w:szCs w:val="16"/>
                <w:lang w:eastAsia="en-GB"/>
              </w:rPr>
            </w:pPr>
            <w:r w:rsidRPr="007337C6">
              <w:rPr>
                <w:rFonts w:ascii="Trebuchet MS" w:hAnsi="Trebuchet MS" w:cs="Calibri"/>
                <w:color w:val="000000"/>
                <w:sz w:val="18"/>
                <w:szCs w:val="18"/>
              </w:rPr>
              <w:t>target</w:t>
            </w:r>
          </w:p>
        </w:tc>
        <w:tc>
          <w:tcPr>
            <w:tcW w:w="1392" w:type="dxa"/>
            <w:tcBorders>
              <w:top w:val="nil"/>
              <w:left w:val="nil"/>
              <w:bottom w:val="nil"/>
              <w:right w:val="nil"/>
            </w:tcBorders>
            <w:shd w:val="clear" w:color="auto" w:fill="auto"/>
            <w:noWrap/>
            <w:vAlign w:val="center"/>
            <w:hideMark/>
          </w:tcPr>
          <w:p w14:paraId="05142F92" w14:textId="5908A7E8" w:rsidR="00CC5E72" w:rsidRPr="007337C6" w:rsidRDefault="00CC5E72" w:rsidP="00CC5E72">
            <w:pPr>
              <w:spacing w:after="0" w:line="240" w:lineRule="auto"/>
              <w:jc w:val="right"/>
              <w:rPr>
                <w:rFonts w:ascii="Trebuchet MS" w:eastAsia="Times New Roman" w:hAnsi="Trebuchet MS" w:cs="Calibri"/>
                <w:color w:val="000000"/>
                <w:sz w:val="16"/>
                <w:szCs w:val="16"/>
                <w:lang w:eastAsia="en-GB"/>
              </w:rPr>
            </w:pPr>
            <w:r w:rsidRPr="007337C6">
              <w:rPr>
                <w:rFonts w:ascii="Trebuchet MS" w:hAnsi="Trebuchet MS" w:cs="Calibri"/>
                <w:color w:val="000000"/>
                <w:sz w:val="18"/>
                <w:szCs w:val="18"/>
              </w:rPr>
              <w:t>135%</w:t>
            </w:r>
          </w:p>
        </w:tc>
        <w:tc>
          <w:tcPr>
            <w:tcW w:w="1324" w:type="dxa"/>
            <w:tcBorders>
              <w:top w:val="nil"/>
              <w:left w:val="nil"/>
              <w:bottom w:val="nil"/>
              <w:right w:val="nil"/>
            </w:tcBorders>
            <w:shd w:val="clear" w:color="auto" w:fill="auto"/>
            <w:noWrap/>
            <w:vAlign w:val="center"/>
            <w:hideMark/>
          </w:tcPr>
          <w:p w14:paraId="7271AAF5" w14:textId="3C1E594E" w:rsidR="00CC5E72" w:rsidRPr="007337C6" w:rsidRDefault="00CC5E72" w:rsidP="00CC5E72">
            <w:pPr>
              <w:spacing w:after="0" w:line="240" w:lineRule="auto"/>
              <w:jc w:val="right"/>
              <w:rPr>
                <w:rFonts w:ascii="Trebuchet MS" w:eastAsia="Times New Roman" w:hAnsi="Trebuchet MS" w:cs="Calibri"/>
                <w:color w:val="000000"/>
                <w:sz w:val="16"/>
                <w:szCs w:val="16"/>
                <w:lang w:eastAsia="en-GB"/>
              </w:rPr>
            </w:pPr>
            <w:r w:rsidRPr="007337C6">
              <w:rPr>
                <w:rFonts w:ascii="Trebuchet MS" w:hAnsi="Trebuchet MS" w:cs="Calibri"/>
                <w:color w:val="000000"/>
                <w:sz w:val="18"/>
                <w:szCs w:val="18"/>
              </w:rPr>
              <w:t>135%</w:t>
            </w:r>
          </w:p>
        </w:tc>
        <w:tc>
          <w:tcPr>
            <w:tcW w:w="235" w:type="dxa"/>
            <w:tcBorders>
              <w:top w:val="nil"/>
              <w:left w:val="nil"/>
              <w:bottom w:val="nil"/>
              <w:right w:val="nil"/>
            </w:tcBorders>
            <w:shd w:val="clear" w:color="auto" w:fill="auto"/>
            <w:noWrap/>
            <w:vAlign w:val="bottom"/>
            <w:hideMark/>
          </w:tcPr>
          <w:p w14:paraId="0DB87EAE" w14:textId="77777777" w:rsidR="00CC5E72" w:rsidRPr="007337C6" w:rsidRDefault="00CC5E72" w:rsidP="00CC5E72">
            <w:pPr>
              <w:spacing w:after="0" w:line="240" w:lineRule="auto"/>
              <w:jc w:val="right"/>
              <w:rPr>
                <w:rFonts w:ascii="Trebuchet MS" w:eastAsia="Times New Roman" w:hAnsi="Trebuchet MS" w:cs="Calibri"/>
                <w:color w:val="000000"/>
                <w:sz w:val="16"/>
                <w:szCs w:val="16"/>
                <w:lang w:eastAsia="en-GB"/>
              </w:rPr>
            </w:pPr>
          </w:p>
        </w:tc>
        <w:tc>
          <w:tcPr>
            <w:tcW w:w="755" w:type="dxa"/>
            <w:tcBorders>
              <w:top w:val="nil"/>
              <w:left w:val="nil"/>
              <w:bottom w:val="nil"/>
              <w:right w:val="nil"/>
            </w:tcBorders>
            <w:shd w:val="clear" w:color="auto" w:fill="auto"/>
            <w:noWrap/>
            <w:vAlign w:val="center"/>
            <w:hideMark/>
          </w:tcPr>
          <w:p w14:paraId="79E08E7B" w14:textId="7354DFFF" w:rsidR="00CC5E72" w:rsidRPr="007337C6" w:rsidRDefault="00CC5E72" w:rsidP="00CC5E72">
            <w:pPr>
              <w:spacing w:after="0" w:line="240" w:lineRule="auto"/>
              <w:rPr>
                <w:rFonts w:ascii="Trebuchet MS" w:eastAsia="Times New Roman" w:hAnsi="Trebuchet MS" w:cs="Calibri"/>
                <w:color w:val="000000"/>
                <w:sz w:val="16"/>
                <w:szCs w:val="16"/>
                <w:lang w:eastAsia="en-GB"/>
              </w:rPr>
            </w:pPr>
            <w:r w:rsidRPr="007337C6">
              <w:rPr>
                <w:rFonts w:ascii="Trebuchet MS" w:hAnsi="Trebuchet MS" w:cs="Calibri"/>
                <w:color w:val="000000"/>
                <w:sz w:val="18"/>
                <w:szCs w:val="18"/>
              </w:rPr>
              <w:t>target</w:t>
            </w:r>
          </w:p>
        </w:tc>
        <w:tc>
          <w:tcPr>
            <w:tcW w:w="1311" w:type="dxa"/>
            <w:tcBorders>
              <w:top w:val="nil"/>
              <w:left w:val="nil"/>
              <w:bottom w:val="nil"/>
              <w:right w:val="nil"/>
            </w:tcBorders>
            <w:shd w:val="clear" w:color="auto" w:fill="auto"/>
            <w:noWrap/>
            <w:vAlign w:val="center"/>
            <w:hideMark/>
          </w:tcPr>
          <w:p w14:paraId="36C70A82" w14:textId="1A223199" w:rsidR="00CC5E72" w:rsidRPr="007337C6" w:rsidRDefault="00CC5E72" w:rsidP="00CC5E72">
            <w:pPr>
              <w:spacing w:after="0" w:line="240" w:lineRule="auto"/>
              <w:jc w:val="right"/>
              <w:rPr>
                <w:rFonts w:ascii="Trebuchet MS" w:eastAsia="Times New Roman" w:hAnsi="Trebuchet MS" w:cs="Calibri"/>
                <w:color w:val="000000"/>
                <w:sz w:val="16"/>
                <w:szCs w:val="16"/>
                <w:lang w:eastAsia="en-GB"/>
              </w:rPr>
            </w:pPr>
            <w:r w:rsidRPr="007337C6">
              <w:rPr>
                <w:rFonts w:ascii="Trebuchet MS" w:hAnsi="Trebuchet MS" w:cs="Calibri"/>
                <w:color w:val="000000"/>
                <w:sz w:val="18"/>
                <w:szCs w:val="18"/>
              </w:rPr>
              <w:t>125%</w:t>
            </w:r>
          </w:p>
        </w:tc>
        <w:tc>
          <w:tcPr>
            <w:tcW w:w="1245" w:type="dxa"/>
            <w:tcBorders>
              <w:top w:val="nil"/>
              <w:left w:val="nil"/>
              <w:bottom w:val="nil"/>
              <w:right w:val="nil"/>
            </w:tcBorders>
            <w:shd w:val="clear" w:color="auto" w:fill="auto"/>
            <w:noWrap/>
            <w:vAlign w:val="center"/>
            <w:hideMark/>
          </w:tcPr>
          <w:p w14:paraId="0CEAE097" w14:textId="2CD58D14" w:rsidR="00CC5E72" w:rsidRPr="007337C6" w:rsidRDefault="00CC5E72" w:rsidP="00CC5E72">
            <w:pPr>
              <w:spacing w:after="0" w:line="240" w:lineRule="auto"/>
              <w:jc w:val="right"/>
              <w:rPr>
                <w:rFonts w:ascii="Trebuchet MS" w:eastAsia="Times New Roman" w:hAnsi="Trebuchet MS" w:cs="Calibri"/>
                <w:color w:val="000000"/>
                <w:sz w:val="16"/>
                <w:szCs w:val="16"/>
                <w:lang w:eastAsia="en-GB"/>
              </w:rPr>
            </w:pPr>
            <w:r w:rsidRPr="007337C6">
              <w:rPr>
                <w:rFonts w:ascii="Trebuchet MS" w:hAnsi="Trebuchet MS" w:cs="Calibri"/>
                <w:color w:val="000000"/>
                <w:sz w:val="18"/>
                <w:szCs w:val="18"/>
              </w:rPr>
              <w:t>125%</w:t>
            </w:r>
          </w:p>
        </w:tc>
        <w:tc>
          <w:tcPr>
            <w:tcW w:w="235" w:type="dxa"/>
            <w:tcBorders>
              <w:top w:val="nil"/>
              <w:left w:val="nil"/>
              <w:bottom w:val="nil"/>
              <w:right w:val="nil"/>
            </w:tcBorders>
            <w:shd w:val="clear" w:color="auto" w:fill="auto"/>
            <w:noWrap/>
            <w:vAlign w:val="bottom"/>
            <w:hideMark/>
          </w:tcPr>
          <w:p w14:paraId="29B6BFA6" w14:textId="77777777" w:rsidR="00CC5E72" w:rsidRPr="007337C6" w:rsidRDefault="00CC5E72" w:rsidP="00CC5E72">
            <w:pPr>
              <w:spacing w:after="0" w:line="240" w:lineRule="auto"/>
              <w:jc w:val="right"/>
              <w:rPr>
                <w:rFonts w:ascii="Trebuchet MS" w:eastAsia="Times New Roman" w:hAnsi="Trebuchet MS" w:cs="Calibri"/>
                <w:color w:val="000000"/>
                <w:sz w:val="16"/>
                <w:szCs w:val="16"/>
                <w:lang w:eastAsia="en-GB"/>
              </w:rPr>
            </w:pPr>
          </w:p>
        </w:tc>
        <w:tc>
          <w:tcPr>
            <w:tcW w:w="755" w:type="dxa"/>
            <w:tcBorders>
              <w:top w:val="nil"/>
              <w:left w:val="nil"/>
              <w:bottom w:val="nil"/>
              <w:right w:val="nil"/>
            </w:tcBorders>
            <w:shd w:val="clear" w:color="auto" w:fill="auto"/>
            <w:noWrap/>
            <w:vAlign w:val="center"/>
            <w:hideMark/>
          </w:tcPr>
          <w:p w14:paraId="62E2FF05" w14:textId="17921195" w:rsidR="00CC5E72" w:rsidRPr="007337C6" w:rsidRDefault="00CC5E72" w:rsidP="00CC5E72">
            <w:pPr>
              <w:spacing w:after="0" w:line="240" w:lineRule="auto"/>
              <w:rPr>
                <w:rFonts w:ascii="Trebuchet MS" w:eastAsia="Times New Roman" w:hAnsi="Trebuchet MS" w:cs="Calibri"/>
                <w:color w:val="000000"/>
                <w:sz w:val="16"/>
                <w:szCs w:val="16"/>
                <w:lang w:eastAsia="en-GB"/>
              </w:rPr>
            </w:pPr>
            <w:r w:rsidRPr="007337C6">
              <w:rPr>
                <w:rFonts w:ascii="Trebuchet MS" w:hAnsi="Trebuchet MS" w:cs="Calibri"/>
                <w:color w:val="000000"/>
                <w:sz w:val="18"/>
                <w:szCs w:val="18"/>
              </w:rPr>
              <w:t>target</w:t>
            </w:r>
          </w:p>
        </w:tc>
        <w:tc>
          <w:tcPr>
            <w:tcW w:w="1311" w:type="dxa"/>
            <w:tcBorders>
              <w:top w:val="nil"/>
              <w:left w:val="nil"/>
              <w:bottom w:val="nil"/>
              <w:right w:val="nil"/>
            </w:tcBorders>
            <w:shd w:val="clear" w:color="auto" w:fill="auto"/>
            <w:noWrap/>
            <w:vAlign w:val="center"/>
            <w:hideMark/>
          </w:tcPr>
          <w:p w14:paraId="395E5A1A" w14:textId="59B94862" w:rsidR="00CC5E72" w:rsidRPr="007337C6" w:rsidRDefault="00CC5E72" w:rsidP="00CC5E72">
            <w:pPr>
              <w:spacing w:after="0" w:line="240" w:lineRule="auto"/>
              <w:jc w:val="right"/>
              <w:rPr>
                <w:rFonts w:ascii="Trebuchet MS" w:eastAsia="Times New Roman" w:hAnsi="Trebuchet MS" w:cs="Calibri"/>
                <w:color w:val="000000"/>
                <w:sz w:val="16"/>
                <w:szCs w:val="16"/>
                <w:lang w:eastAsia="en-GB"/>
              </w:rPr>
            </w:pPr>
            <w:r w:rsidRPr="007337C6">
              <w:rPr>
                <w:rFonts w:ascii="Trebuchet MS" w:hAnsi="Trebuchet MS" w:cs="Calibri"/>
                <w:color w:val="000000"/>
                <w:sz w:val="18"/>
                <w:szCs w:val="18"/>
              </w:rPr>
              <w:t>140%</w:t>
            </w:r>
          </w:p>
        </w:tc>
        <w:tc>
          <w:tcPr>
            <w:tcW w:w="1245" w:type="dxa"/>
            <w:tcBorders>
              <w:top w:val="nil"/>
              <w:left w:val="nil"/>
              <w:bottom w:val="nil"/>
              <w:right w:val="nil"/>
            </w:tcBorders>
            <w:shd w:val="clear" w:color="auto" w:fill="auto"/>
            <w:noWrap/>
            <w:vAlign w:val="center"/>
            <w:hideMark/>
          </w:tcPr>
          <w:p w14:paraId="73B377E0" w14:textId="03577CB6" w:rsidR="00CC5E72" w:rsidRPr="007337C6" w:rsidRDefault="00CC5E72" w:rsidP="00CC5E72">
            <w:pPr>
              <w:spacing w:after="0" w:line="240" w:lineRule="auto"/>
              <w:jc w:val="right"/>
              <w:rPr>
                <w:rFonts w:ascii="Trebuchet MS" w:eastAsia="Times New Roman" w:hAnsi="Trebuchet MS" w:cs="Calibri"/>
                <w:color w:val="000000"/>
                <w:sz w:val="16"/>
                <w:szCs w:val="16"/>
                <w:lang w:eastAsia="en-GB"/>
              </w:rPr>
            </w:pPr>
            <w:r w:rsidRPr="007337C6">
              <w:rPr>
                <w:rFonts w:ascii="Trebuchet MS" w:hAnsi="Trebuchet MS" w:cs="Calibri"/>
                <w:color w:val="000000"/>
                <w:sz w:val="18"/>
                <w:szCs w:val="18"/>
              </w:rPr>
              <w:t>140%</w:t>
            </w:r>
          </w:p>
        </w:tc>
      </w:tr>
    </w:tbl>
    <w:p w14:paraId="1CB98803" w14:textId="77777777" w:rsidR="00C44839" w:rsidRPr="007337C6" w:rsidRDefault="00C44839" w:rsidP="003A0756">
      <w:pPr>
        <w:rPr>
          <w:rFonts w:ascii="Trebuchet MS" w:hAnsi="Trebuchet MS" w:cs="Arial"/>
          <w:sz w:val="20"/>
          <w:szCs w:val="20"/>
        </w:rPr>
      </w:pPr>
    </w:p>
    <w:p w14:paraId="1999EC96" w14:textId="51EAF2BB" w:rsidR="009A5690" w:rsidRPr="007337C6" w:rsidRDefault="008E79B6" w:rsidP="003A0756">
      <w:pPr>
        <w:rPr>
          <w:rFonts w:ascii="Trebuchet MS" w:hAnsi="Trebuchet MS" w:cs="Arial"/>
          <w:sz w:val="20"/>
          <w:szCs w:val="20"/>
        </w:rPr>
      </w:pPr>
      <w:r w:rsidRPr="007337C6">
        <w:rPr>
          <w:rFonts w:ascii="Trebuchet MS" w:hAnsi="Trebuchet MS" w:cs="Arial"/>
          <w:sz w:val="20"/>
          <w:szCs w:val="20"/>
        </w:rPr>
        <w:t xml:space="preserve">At 3Q20, </w:t>
      </w:r>
      <w:r w:rsidR="00682F1B">
        <w:rPr>
          <w:rFonts w:ascii="Trebuchet MS" w:hAnsi="Trebuchet MS" w:cs="Arial"/>
          <w:sz w:val="20"/>
          <w:szCs w:val="20"/>
        </w:rPr>
        <w:t xml:space="preserve">the </w:t>
      </w:r>
      <w:r w:rsidR="009A5690" w:rsidRPr="007337C6">
        <w:rPr>
          <w:rFonts w:ascii="Trebuchet MS" w:hAnsi="Trebuchet MS" w:cs="Arial"/>
          <w:sz w:val="20"/>
          <w:szCs w:val="20"/>
        </w:rPr>
        <w:t xml:space="preserve">AEI SCR ratio </w:t>
      </w:r>
      <w:r w:rsidR="00CC5E72" w:rsidRPr="007337C6">
        <w:rPr>
          <w:rFonts w:ascii="Trebuchet MS" w:hAnsi="Trebuchet MS" w:cs="Arial"/>
          <w:sz w:val="20"/>
          <w:szCs w:val="20"/>
        </w:rPr>
        <w:t>i</w:t>
      </w:r>
      <w:r w:rsidR="009A5690" w:rsidRPr="007337C6">
        <w:rPr>
          <w:rFonts w:ascii="Trebuchet MS" w:hAnsi="Trebuchet MS" w:cs="Arial"/>
          <w:sz w:val="20"/>
          <w:szCs w:val="20"/>
        </w:rPr>
        <w:t xml:space="preserve">s projected to be </w:t>
      </w:r>
      <w:r w:rsidR="00CC5E72" w:rsidRPr="007337C6">
        <w:rPr>
          <w:rFonts w:ascii="Trebuchet MS" w:hAnsi="Trebuchet MS" w:cs="Arial"/>
          <w:sz w:val="20"/>
          <w:szCs w:val="20"/>
        </w:rPr>
        <w:t>222</w:t>
      </w:r>
      <w:r w:rsidR="009A5690" w:rsidRPr="007337C6">
        <w:rPr>
          <w:rFonts w:ascii="Trebuchet MS" w:hAnsi="Trebuchet MS" w:cs="Arial"/>
          <w:sz w:val="20"/>
          <w:szCs w:val="20"/>
        </w:rPr>
        <w:t xml:space="preserve">% before the Part VII Transfer </w:t>
      </w:r>
      <w:r w:rsidR="00CC5E72" w:rsidRPr="007337C6">
        <w:rPr>
          <w:rFonts w:ascii="Trebuchet MS" w:hAnsi="Trebuchet MS" w:cs="Arial"/>
          <w:sz w:val="20"/>
          <w:szCs w:val="20"/>
        </w:rPr>
        <w:t>and</w:t>
      </w:r>
      <w:r w:rsidR="009A5690" w:rsidRPr="007337C6">
        <w:rPr>
          <w:rFonts w:ascii="Trebuchet MS" w:hAnsi="Trebuchet MS" w:cs="Arial"/>
          <w:sz w:val="20"/>
          <w:szCs w:val="20"/>
        </w:rPr>
        <w:t xml:space="preserve"> 1</w:t>
      </w:r>
      <w:r w:rsidR="00CC5E72" w:rsidRPr="007337C6">
        <w:rPr>
          <w:rFonts w:ascii="Trebuchet MS" w:hAnsi="Trebuchet MS" w:cs="Arial"/>
          <w:sz w:val="20"/>
          <w:szCs w:val="20"/>
        </w:rPr>
        <w:t>53</w:t>
      </w:r>
      <w:r w:rsidR="009A5690" w:rsidRPr="007337C6">
        <w:rPr>
          <w:rFonts w:ascii="Trebuchet MS" w:hAnsi="Trebuchet MS" w:cs="Arial"/>
          <w:sz w:val="20"/>
          <w:szCs w:val="20"/>
        </w:rPr>
        <w:t>% post Transfer</w:t>
      </w:r>
      <w:r w:rsidR="00CC5E72" w:rsidRPr="007337C6">
        <w:rPr>
          <w:rFonts w:ascii="Trebuchet MS" w:hAnsi="Trebuchet MS" w:cs="Arial"/>
          <w:sz w:val="20"/>
          <w:szCs w:val="20"/>
        </w:rPr>
        <w:t>. It was 1</w:t>
      </w:r>
      <w:r w:rsidR="00287E7E">
        <w:rPr>
          <w:rFonts w:ascii="Trebuchet MS" w:hAnsi="Trebuchet MS" w:cs="Arial"/>
          <w:sz w:val="20"/>
          <w:szCs w:val="20"/>
        </w:rPr>
        <w:t>51</w:t>
      </w:r>
      <w:r w:rsidR="00CC5E72" w:rsidRPr="007337C6">
        <w:rPr>
          <w:rFonts w:ascii="Trebuchet MS" w:hAnsi="Trebuchet MS" w:cs="Arial"/>
          <w:sz w:val="20"/>
          <w:szCs w:val="20"/>
        </w:rPr>
        <w:t>% post transfer in the initial report</w:t>
      </w:r>
      <w:r w:rsidR="009A5690" w:rsidRPr="007337C6">
        <w:rPr>
          <w:rFonts w:ascii="Trebuchet MS" w:hAnsi="Trebuchet MS" w:cs="Arial"/>
          <w:sz w:val="20"/>
          <w:szCs w:val="20"/>
        </w:rPr>
        <w:t xml:space="preserve">. Note that the SCR ratio of </w:t>
      </w:r>
      <w:r w:rsidR="00CC5E72" w:rsidRPr="007337C6">
        <w:rPr>
          <w:rFonts w:ascii="Trebuchet MS" w:hAnsi="Trebuchet MS" w:cs="Arial"/>
          <w:sz w:val="20"/>
          <w:szCs w:val="20"/>
        </w:rPr>
        <w:t>222</w:t>
      </w:r>
      <w:r w:rsidR="009A5690" w:rsidRPr="007337C6">
        <w:rPr>
          <w:rFonts w:ascii="Trebuchet MS" w:hAnsi="Trebuchet MS" w:cs="Arial"/>
          <w:sz w:val="20"/>
          <w:szCs w:val="20"/>
        </w:rPr>
        <w:t xml:space="preserve">% before Transfer was only based on Front book assets and capital of </w:t>
      </w:r>
      <w:r w:rsidR="00CC5E72" w:rsidRPr="007337C6">
        <w:rPr>
          <w:rFonts w:ascii="Trebuchet MS" w:hAnsi="Trebuchet MS" w:cs="Arial"/>
          <w:sz w:val="20"/>
          <w:szCs w:val="20"/>
        </w:rPr>
        <w:t>£35.1</w:t>
      </w:r>
      <w:r w:rsidR="009A5690" w:rsidRPr="007337C6">
        <w:rPr>
          <w:rFonts w:ascii="Trebuchet MS" w:hAnsi="Trebuchet MS" w:cs="Arial"/>
          <w:sz w:val="20"/>
          <w:szCs w:val="20"/>
        </w:rPr>
        <w:t>m</w:t>
      </w:r>
      <w:r w:rsidRPr="007337C6">
        <w:rPr>
          <w:rFonts w:ascii="Trebuchet MS" w:hAnsi="Trebuchet MS" w:cs="Arial"/>
          <w:sz w:val="20"/>
          <w:szCs w:val="20"/>
        </w:rPr>
        <w:t xml:space="preserve"> </w:t>
      </w:r>
      <w:r w:rsidR="009A5690" w:rsidRPr="007337C6">
        <w:rPr>
          <w:rFonts w:ascii="Trebuchet MS" w:hAnsi="Trebuchet MS" w:cs="Arial"/>
          <w:sz w:val="20"/>
          <w:szCs w:val="20"/>
        </w:rPr>
        <w:t xml:space="preserve">and </w:t>
      </w:r>
      <w:r w:rsidR="00CC5E72" w:rsidRPr="007337C6">
        <w:rPr>
          <w:rFonts w:ascii="Trebuchet MS" w:hAnsi="Trebuchet MS" w:cs="Arial"/>
          <w:sz w:val="20"/>
          <w:szCs w:val="20"/>
        </w:rPr>
        <w:t xml:space="preserve">forecasted </w:t>
      </w:r>
      <w:r w:rsidR="009A5690" w:rsidRPr="007337C6">
        <w:rPr>
          <w:rFonts w:ascii="Trebuchet MS" w:hAnsi="Trebuchet MS" w:cs="Arial"/>
          <w:sz w:val="20"/>
          <w:szCs w:val="20"/>
        </w:rPr>
        <w:t>three months of new business written by AEI. Therefore, the Before Transfer position is not representative of AEI portfolio going forward, as it was a transitional state of the business, with only a small proportion of liabilities with a</w:t>
      </w:r>
      <w:r w:rsidR="00287E7E">
        <w:rPr>
          <w:rFonts w:ascii="Trebuchet MS" w:hAnsi="Trebuchet MS" w:cs="Arial"/>
          <w:sz w:val="20"/>
          <w:szCs w:val="20"/>
        </w:rPr>
        <w:t xml:space="preserve"> large</w:t>
      </w:r>
      <w:r w:rsidR="009A5690" w:rsidRPr="007337C6">
        <w:rPr>
          <w:rFonts w:ascii="Trebuchet MS" w:hAnsi="Trebuchet MS" w:cs="Arial"/>
          <w:sz w:val="20"/>
          <w:szCs w:val="20"/>
        </w:rPr>
        <w:t xml:space="preserve"> asset cover.</w:t>
      </w:r>
      <w:r w:rsidRPr="007337C6">
        <w:rPr>
          <w:rFonts w:ascii="Trebuchet MS" w:hAnsi="Trebuchet MS" w:cs="Arial"/>
          <w:sz w:val="20"/>
          <w:szCs w:val="20"/>
        </w:rPr>
        <w:t xml:space="preserve"> The post-Transfer SCR% of 153% is well above the target 140%</w:t>
      </w:r>
      <w:r w:rsidR="00CC5E72" w:rsidRPr="007337C6">
        <w:rPr>
          <w:rFonts w:ascii="Trebuchet MS" w:hAnsi="Trebuchet MS" w:cs="Arial"/>
          <w:sz w:val="20"/>
          <w:szCs w:val="20"/>
        </w:rPr>
        <w:t>.</w:t>
      </w:r>
    </w:p>
    <w:p w14:paraId="5449B4AC" w14:textId="77777777" w:rsidR="00BB0DED" w:rsidRPr="007337C6" w:rsidRDefault="00BB0DED" w:rsidP="003A0756">
      <w:pPr>
        <w:rPr>
          <w:rFonts w:ascii="Trebuchet MS" w:hAnsi="Trebuchet MS" w:cs="Arial"/>
          <w:b/>
          <w:bCs/>
          <w:sz w:val="20"/>
          <w:szCs w:val="20"/>
          <w:u w:val="single"/>
        </w:rPr>
      </w:pPr>
      <w:r w:rsidRPr="007337C6">
        <w:rPr>
          <w:rFonts w:ascii="Trebuchet MS" w:hAnsi="Trebuchet MS" w:cs="Arial"/>
          <w:b/>
          <w:bCs/>
          <w:sz w:val="20"/>
          <w:szCs w:val="20"/>
          <w:u w:val="single"/>
        </w:rPr>
        <w:t>Conclusion</w:t>
      </w:r>
    </w:p>
    <w:p w14:paraId="50DF6086" w14:textId="567FBFB4" w:rsidR="00547749" w:rsidRPr="007337C6" w:rsidRDefault="00C407B1" w:rsidP="003A0756">
      <w:pPr>
        <w:rPr>
          <w:rFonts w:ascii="Trebuchet MS" w:hAnsi="Trebuchet MS" w:cs="Arial"/>
          <w:sz w:val="20"/>
          <w:szCs w:val="20"/>
        </w:rPr>
      </w:pPr>
      <w:r w:rsidRPr="007337C6">
        <w:rPr>
          <w:rFonts w:ascii="Trebuchet MS" w:hAnsi="Trebuchet MS" w:cs="Arial"/>
          <w:sz w:val="20"/>
          <w:szCs w:val="20"/>
        </w:rPr>
        <w:t>The Transfer</w:t>
      </w:r>
      <w:r w:rsidR="00547749" w:rsidRPr="007337C6">
        <w:rPr>
          <w:rFonts w:ascii="Trebuchet MS" w:hAnsi="Trebuchet MS" w:cs="Arial"/>
          <w:sz w:val="20"/>
          <w:szCs w:val="20"/>
        </w:rPr>
        <w:t>ring and non-Transferring policyholders of AGIL and LGI benefit from strong capitalisation pre</w:t>
      </w:r>
      <w:r w:rsidR="008E79B6" w:rsidRPr="007337C6">
        <w:rPr>
          <w:rFonts w:ascii="Trebuchet MS" w:hAnsi="Trebuchet MS" w:cs="Arial"/>
          <w:sz w:val="20"/>
          <w:szCs w:val="20"/>
        </w:rPr>
        <w:t>-</w:t>
      </w:r>
      <w:r w:rsidR="00547749" w:rsidRPr="007337C6">
        <w:rPr>
          <w:rFonts w:ascii="Trebuchet MS" w:hAnsi="Trebuchet MS" w:cs="Arial"/>
          <w:sz w:val="20"/>
          <w:szCs w:val="20"/>
        </w:rPr>
        <w:t xml:space="preserve"> and post</w:t>
      </w:r>
      <w:r w:rsidR="008E79B6" w:rsidRPr="007337C6">
        <w:rPr>
          <w:rFonts w:ascii="Trebuchet MS" w:hAnsi="Trebuchet MS" w:cs="Arial"/>
          <w:sz w:val="20"/>
          <w:szCs w:val="20"/>
        </w:rPr>
        <w:t>-</w:t>
      </w:r>
      <w:r w:rsidR="00547749" w:rsidRPr="007337C6">
        <w:rPr>
          <w:rFonts w:ascii="Trebuchet MS" w:hAnsi="Trebuchet MS" w:cs="Arial"/>
          <w:sz w:val="20"/>
          <w:szCs w:val="20"/>
        </w:rPr>
        <w:t xml:space="preserve">Transfer. </w:t>
      </w:r>
    </w:p>
    <w:p w14:paraId="5A967D68" w14:textId="1324AE89" w:rsidR="00B65495" w:rsidRPr="007337C6" w:rsidRDefault="00B65495" w:rsidP="00FA0241">
      <w:pPr>
        <w:pStyle w:val="Heading1"/>
        <w:numPr>
          <w:ilvl w:val="0"/>
          <w:numId w:val="1"/>
        </w:numPr>
        <w:rPr>
          <w:color w:val="0070C0"/>
        </w:rPr>
      </w:pPr>
      <w:bookmarkStart w:id="77" w:name="_Toc34406058"/>
      <w:bookmarkStart w:id="78" w:name="_Toc34406656"/>
      <w:bookmarkStart w:id="79" w:name="_Toc52451881"/>
      <w:bookmarkEnd w:id="77"/>
      <w:bookmarkEnd w:id="78"/>
      <w:r w:rsidRPr="007337C6">
        <w:rPr>
          <w:color w:val="0070C0"/>
        </w:rPr>
        <w:lastRenderedPageBreak/>
        <w:t>Latest position</w:t>
      </w:r>
      <w:r w:rsidR="00C819E2" w:rsidRPr="007337C6">
        <w:rPr>
          <w:color w:val="0070C0"/>
        </w:rPr>
        <w:t xml:space="preserve"> – as at date of supplementary report</w:t>
      </w:r>
      <w:bookmarkEnd w:id="79"/>
    </w:p>
    <w:p w14:paraId="7F3F9175" w14:textId="197D7070" w:rsidR="000D23CD" w:rsidRDefault="000D23CD" w:rsidP="000D23CD">
      <w:pPr>
        <w:pStyle w:val="Heading1"/>
        <w:numPr>
          <w:ilvl w:val="1"/>
          <w:numId w:val="1"/>
        </w:numPr>
        <w:rPr>
          <w:color w:val="0070C0"/>
        </w:rPr>
      </w:pPr>
      <w:bookmarkStart w:id="80" w:name="_Toc52451882"/>
      <w:r w:rsidRPr="007337C6">
        <w:rPr>
          <w:color w:val="0070C0"/>
        </w:rPr>
        <w:t>Liabilities to be transferred</w:t>
      </w:r>
      <w:r>
        <w:rPr>
          <w:color w:val="0070C0"/>
        </w:rPr>
        <w:t xml:space="preserve"> as at 4Q19</w:t>
      </w:r>
      <w:r w:rsidR="005E72EC">
        <w:rPr>
          <w:color w:val="0070C0"/>
        </w:rPr>
        <w:t xml:space="preserve"> (update</w:t>
      </w:r>
      <w:r>
        <w:rPr>
          <w:color w:val="0070C0"/>
        </w:rPr>
        <w:t>)</w:t>
      </w:r>
      <w:bookmarkEnd w:id="80"/>
    </w:p>
    <w:p w14:paraId="09AB9640" w14:textId="16AFD5C4" w:rsidR="005E72EC" w:rsidRDefault="005E72EC" w:rsidP="005E72EC">
      <w:pPr>
        <w:rPr>
          <w:lang w:val="en-US"/>
        </w:rPr>
      </w:pPr>
    </w:p>
    <w:p w14:paraId="452F46A0" w14:textId="418FC467" w:rsidR="005E72EC" w:rsidRDefault="005E72EC" w:rsidP="005E72EC">
      <w:pPr>
        <w:rPr>
          <w:rFonts w:ascii="Trebuchet MS" w:hAnsi="Trebuchet MS"/>
          <w:sz w:val="20"/>
          <w:szCs w:val="20"/>
          <w:lang w:val="en-US"/>
        </w:rPr>
      </w:pPr>
      <w:r>
        <w:rPr>
          <w:rFonts w:ascii="Trebuchet MS" w:hAnsi="Trebuchet MS"/>
          <w:sz w:val="20"/>
          <w:szCs w:val="20"/>
          <w:lang w:val="en-US"/>
        </w:rPr>
        <w:t xml:space="preserve">The updated </w:t>
      </w:r>
      <w:proofErr w:type="spellStart"/>
      <w:r>
        <w:rPr>
          <w:rFonts w:ascii="Trebuchet MS" w:hAnsi="Trebuchet MS"/>
          <w:sz w:val="20"/>
          <w:szCs w:val="20"/>
          <w:lang w:val="en-US"/>
        </w:rPr>
        <w:t>TPs</w:t>
      </w:r>
      <w:proofErr w:type="spellEnd"/>
      <w:r>
        <w:rPr>
          <w:rFonts w:ascii="Trebuchet MS" w:hAnsi="Trebuchet MS"/>
          <w:sz w:val="20"/>
          <w:szCs w:val="20"/>
          <w:lang w:val="en-US"/>
        </w:rPr>
        <w:t xml:space="preserve"> as at YE19 allowing for </w:t>
      </w:r>
      <w:proofErr w:type="gramStart"/>
      <w:r>
        <w:rPr>
          <w:rFonts w:ascii="Trebuchet MS" w:hAnsi="Trebuchet MS"/>
          <w:sz w:val="20"/>
          <w:szCs w:val="20"/>
          <w:lang w:val="en-US"/>
        </w:rPr>
        <w:t>a longer contract boundary on a major UK scheme as discussed in section 4.1 are</w:t>
      </w:r>
      <w:proofErr w:type="gramEnd"/>
      <w:r>
        <w:rPr>
          <w:rFonts w:ascii="Trebuchet MS" w:hAnsi="Trebuchet MS"/>
          <w:sz w:val="20"/>
          <w:szCs w:val="20"/>
          <w:lang w:val="en-US"/>
        </w:rPr>
        <w:t xml:space="preserve"> presented below.</w:t>
      </w:r>
    </w:p>
    <w:tbl>
      <w:tblPr>
        <w:tblW w:w="10223" w:type="dxa"/>
        <w:tblLook w:val="04A0" w:firstRow="1" w:lastRow="0" w:firstColumn="1" w:lastColumn="0" w:noHBand="0" w:noVBand="1"/>
      </w:tblPr>
      <w:tblGrid>
        <w:gridCol w:w="1499"/>
        <w:gridCol w:w="812"/>
        <w:gridCol w:w="1055"/>
        <w:gridCol w:w="922"/>
        <w:gridCol w:w="812"/>
        <w:gridCol w:w="807"/>
        <w:gridCol w:w="812"/>
        <w:gridCol w:w="1055"/>
        <w:gridCol w:w="835"/>
        <w:gridCol w:w="807"/>
        <w:gridCol w:w="807"/>
      </w:tblGrid>
      <w:tr w:rsidR="005E72EC" w:rsidRPr="002C2316" w14:paraId="2F14D31C" w14:textId="77777777" w:rsidTr="004F0D35">
        <w:trPr>
          <w:trHeight w:val="219"/>
        </w:trPr>
        <w:tc>
          <w:tcPr>
            <w:tcW w:w="1499" w:type="dxa"/>
            <w:tcBorders>
              <w:top w:val="nil"/>
              <w:left w:val="nil"/>
              <w:bottom w:val="nil"/>
              <w:right w:val="nil"/>
            </w:tcBorders>
            <w:shd w:val="clear" w:color="auto" w:fill="auto"/>
            <w:noWrap/>
            <w:vAlign w:val="bottom"/>
            <w:hideMark/>
          </w:tcPr>
          <w:p w14:paraId="41B544D0" w14:textId="77777777" w:rsidR="005E72EC" w:rsidRPr="002C2316" w:rsidRDefault="005E72EC" w:rsidP="004F0D35">
            <w:pPr>
              <w:spacing w:after="0" w:line="240" w:lineRule="auto"/>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 xml:space="preserve">Gross </w:t>
            </w:r>
            <w:proofErr w:type="spellStart"/>
            <w:r w:rsidRPr="002C2316">
              <w:rPr>
                <w:rFonts w:ascii="Trebuchet MS" w:eastAsia="Times New Roman" w:hAnsi="Trebuchet MS" w:cs="Arial"/>
                <w:color w:val="000000"/>
                <w:sz w:val="16"/>
                <w:szCs w:val="16"/>
                <w:lang w:eastAsia="en-GB"/>
              </w:rPr>
              <w:t>TPs</w:t>
            </w:r>
            <w:proofErr w:type="spellEnd"/>
            <w:r w:rsidRPr="002C2316">
              <w:rPr>
                <w:rFonts w:ascii="Trebuchet MS" w:eastAsia="Times New Roman" w:hAnsi="Trebuchet MS" w:cs="Arial"/>
                <w:color w:val="000000"/>
                <w:sz w:val="16"/>
                <w:szCs w:val="16"/>
                <w:lang w:eastAsia="en-GB"/>
              </w:rPr>
              <w:t xml:space="preserve"> £000s</w:t>
            </w:r>
          </w:p>
        </w:tc>
        <w:tc>
          <w:tcPr>
            <w:tcW w:w="812" w:type="dxa"/>
            <w:tcBorders>
              <w:top w:val="nil"/>
              <w:left w:val="nil"/>
              <w:bottom w:val="nil"/>
              <w:right w:val="nil"/>
            </w:tcBorders>
            <w:shd w:val="clear" w:color="auto" w:fill="auto"/>
            <w:noWrap/>
            <w:vAlign w:val="bottom"/>
            <w:hideMark/>
          </w:tcPr>
          <w:p w14:paraId="621DAD7C" w14:textId="77777777" w:rsidR="005E72EC" w:rsidRPr="002C2316" w:rsidRDefault="005E72EC" w:rsidP="004F0D35">
            <w:pPr>
              <w:spacing w:after="0" w:line="240" w:lineRule="auto"/>
              <w:rPr>
                <w:rFonts w:ascii="Trebuchet MS" w:eastAsia="Times New Roman" w:hAnsi="Trebuchet MS" w:cs="Arial"/>
                <w:color w:val="000000"/>
                <w:sz w:val="16"/>
                <w:szCs w:val="16"/>
                <w:lang w:eastAsia="en-GB"/>
              </w:rPr>
            </w:pPr>
          </w:p>
        </w:tc>
        <w:tc>
          <w:tcPr>
            <w:tcW w:w="1055" w:type="dxa"/>
            <w:tcBorders>
              <w:top w:val="nil"/>
              <w:left w:val="nil"/>
              <w:bottom w:val="nil"/>
              <w:right w:val="nil"/>
            </w:tcBorders>
            <w:shd w:val="clear" w:color="auto" w:fill="auto"/>
            <w:noWrap/>
            <w:vAlign w:val="bottom"/>
            <w:hideMark/>
          </w:tcPr>
          <w:p w14:paraId="27956AA8"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c>
          <w:tcPr>
            <w:tcW w:w="922" w:type="dxa"/>
            <w:tcBorders>
              <w:top w:val="nil"/>
              <w:left w:val="nil"/>
              <w:bottom w:val="nil"/>
              <w:right w:val="nil"/>
            </w:tcBorders>
            <w:shd w:val="clear" w:color="auto" w:fill="auto"/>
            <w:noWrap/>
            <w:vAlign w:val="bottom"/>
            <w:hideMark/>
          </w:tcPr>
          <w:p w14:paraId="2A296522"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c>
          <w:tcPr>
            <w:tcW w:w="812" w:type="dxa"/>
            <w:tcBorders>
              <w:top w:val="nil"/>
              <w:left w:val="nil"/>
              <w:bottom w:val="nil"/>
              <w:right w:val="nil"/>
            </w:tcBorders>
            <w:shd w:val="clear" w:color="auto" w:fill="auto"/>
            <w:noWrap/>
            <w:vAlign w:val="bottom"/>
            <w:hideMark/>
          </w:tcPr>
          <w:p w14:paraId="11198260"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c>
          <w:tcPr>
            <w:tcW w:w="807" w:type="dxa"/>
            <w:tcBorders>
              <w:top w:val="nil"/>
              <w:left w:val="nil"/>
              <w:bottom w:val="nil"/>
              <w:right w:val="nil"/>
            </w:tcBorders>
            <w:shd w:val="clear" w:color="auto" w:fill="auto"/>
            <w:noWrap/>
            <w:vAlign w:val="bottom"/>
            <w:hideMark/>
          </w:tcPr>
          <w:p w14:paraId="1AAB591F"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c>
          <w:tcPr>
            <w:tcW w:w="812" w:type="dxa"/>
            <w:tcBorders>
              <w:top w:val="nil"/>
              <w:left w:val="nil"/>
              <w:bottom w:val="nil"/>
              <w:right w:val="nil"/>
            </w:tcBorders>
            <w:shd w:val="clear" w:color="auto" w:fill="auto"/>
            <w:noWrap/>
            <w:vAlign w:val="bottom"/>
            <w:hideMark/>
          </w:tcPr>
          <w:p w14:paraId="3A86AF3D"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c>
          <w:tcPr>
            <w:tcW w:w="1055" w:type="dxa"/>
            <w:tcBorders>
              <w:top w:val="nil"/>
              <w:left w:val="nil"/>
              <w:bottom w:val="nil"/>
              <w:right w:val="nil"/>
            </w:tcBorders>
            <w:shd w:val="clear" w:color="auto" w:fill="auto"/>
            <w:noWrap/>
            <w:vAlign w:val="bottom"/>
            <w:hideMark/>
          </w:tcPr>
          <w:p w14:paraId="5BFD7ABE"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c>
          <w:tcPr>
            <w:tcW w:w="835" w:type="dxa"/>
            <w:tcBorders>
              <w:top w:val="nil"/>
              <w:left w:val="nil"/>
              <w:bottom w:val="nil"/>
              <w:right w:val="nil"/>
            </w:tcBorders>
            <w:shd w:val="clear" w:color="auto" w:fill="auto"/>
            <w:noWrap/>
            <w:vAlign w:val="bottom"/>
            <w:hideMark/>
          </w:tcPr>
          <w:p w14:paraId="265AC515"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c>
          <w:tcPr>
            <w:tcW w:w="807" w:type="dxa"/>
            <w:tcBorders>
              <w:top w:val="nil"/>
              <w:left w:val="nil"/>
              <w:bottom w:val="nil"/>
              <w:right w:val="nil"/>
            </w:tcBorders>
            <w:shd w:val="clear" w:color="auto" w:fill="auto"/>
            <w:noWrap/>
            <w:vAlign w:val="bottom"/>
            <w:hideMark/>
          </w:tcPr>
          <w:p w14:paraId="03478C5A"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c>
          <w:tcPr>
            <w:tcW w:w="807" w:type="dxa"/>
            <w:tcBorders>
              <w:top w:val="nil"/>
              <w:left w:val="nil"/>
              <w:bottom w:val="nil"/>
              <w:right w:val="nil"/>
            </w:tcBorders>
            <w:shd w:val="clear" w:color="auto" w:fill="auto"/>
            <w:noWrap/>
            <w:vAlign w:val="bottom"/>
            <w:hideMark/>
          </w:tcPr>
          <w:p w14:paraId="6AE00460"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r>
      <w:tr w:rsidR="005E72EC" w:rsidRPr="002C2316" w14:paraId="15336C89" w14:textId="77777777" w:rsidTr="004F0D35">
        <w:trPr>
          <w:trHeight w:val="238"/>
        </w:trPr>
        <w:tc>
          <w:tcPr>
            <w:tcW w:w="1499" w:type="dxa"/>
            <w:tcBorders>
              <w:top w:val="nil"/>
              <w:left w:val="nil"/>
              <w:bottom w:val="nil"/>
              <w:right w:val="nil"/>
            </w:tcBorders>
            <w:shd w:val="clear" w:color="auto" w:fill="auto"/>
            <w:noWrap/>
            <w:vAlign w:val="bottom"/>
            <w:hideMark/>
          </w:tcPr>
          <w:p w14:paraId="4CF3A9DF"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c>
          <w:tcPr>
            <w:tcW w:w="2789" w:type="dxa"/>
            <w:gridSpan w:val="3"/>
            <w:tcBorders>
              <w:top w:val="single" w:sz="8" w:space="0" w:color="0070C0"/>
              <w:left w:val="single" w:sz="8" w:space="0" w:color="0070C0"/>
              <w:bottom w:val="single" w:sz="8" w:space="0" w:color="0070C0"/>
              <w:right w:val="single" w:sz="8" w:space="0" w:color="0070C0"/>
            </w:tcBorders>
            <w:shd w:val="clear" w:color="auto" w:fill="auto"/>
            <w:noWrap/>
            <w:vAlign w:val="center"/>
            <w:hideMark/>
          </w:tcPr>
          <w:p w14:paraId="3AC89B8A" w14:textId="77777777" w:rsidR="005E72EC" w:rsidRPr="006C303A" w:rsidRDefault="005E72EC" w:rsidP="004F0D35">
            <w:pPr>
              <w:spacing w:after="0" w:line="240" w:lineRule="auto"/>
              <w:jc w:val="center"/>
              <w:rPr>
                <w:rFonts w:ascii="Trebuchet MS" w:eastAsia="Times New Roman" w:hAnsi="Trebuchet MS" w:cs="Arial"/>
                <w:b/>
                <w:bCs/>
                <w:color w:val="0070C0"/>
                <w:sz w:val="16"/>
                <w:szCs w:val="16"/>
                <w:lang w:eastAsia="en-GB"/>
              </w:rPr>
            </w:pPr>
            <w:r w:rsidRPr="006C303A">
              <w:rPr>
                <w:rFonts w:ascii="Trebuchet MS" w:eastAsia="Times New Roman" w:hAnsi="Trebuchet MS" w:cs="Arial"/>
                <w:b/>
                <w:bCs/>
                <w:color w:val="0070C0"/>
                <w:sz w:val="16"/>
                <w:szCs w:val="16"/>
                <w:lang w:eastAsia="en-GB"/>
              </w:rPr>
              <w:t>Before Scheme</w:t>
            </w:r>
          </w:p>
        </w:tc>
        <w:tc>
          <w:tcPr>
            <w:tcW w:w="2431" w:type="dxa"/>
            <w:gridSpan w:val="3"/>
            <w:tcBorders>
              <w:top w:val="single" w:sz="8" w:space="0" w:color="0070C0"/>
              <w:left w:val="nil"/>
              <w:bottom w:val="single" w:sz="8" w:space="0" w:color="0070C0"/>
              <w:right w:val="single" w:sz="8" w:space="0" w:color="0070C0"/>
            </w:tcBorders>
            <w:shd w:val="clear" w:color="auto" w:fill="auto"/>
            <w:noWrap/>
            <w:vAlign w:val="center"/>
            <w:hideMark/>
          </w:tcPr>
          <w:p w14:paraId="3D03DA92" w14:textId="77777777" w:rsidR="005E72EC" w:rsidRPr="006C303A" w:rsidRDefault="005E72EC" w:rsidP="004F0D35">
            <w:pPr>
              <w:spacing w:after="0" w:line="240" w:lineRule="auto"/>
              <w:jc w:val="center"/>
              <w:rPr>
                <w:rFonts w:ascii="Trebuchet MS" w:eastAsia="Times New Roman" w:hAnsi="Trebuchet MS" w:cs="Arial"/>
                <w:b/>
                <w:bCs/>
                <w:color w:val="0070C0"/>
                <w:sz w:val="16"/>
                <w:szCs w:val="16"/>
                <w:lang w:eastAsia="en-GB"/>
              </w:rPr>
            </w:pPr>
            <w:r w:rsidRPr="006C303A">
              <w:rPr>
                <w:rFonts w:ascii="Trebuchet MS" w:eastAsia="Times New Roman" w:hAnsi="Trebuchet MS" w:cs="Arial"/>
                <w:b/>
                <w:bCs/>
                <w:color w:val="0070C0"/>
                <w:sz w:val="16"/>
                <w:szCs w:val="16"/>
                <w:lang w:eastAsia="en-GB"/>
              </w:rPr>
              <w:t>After Scheme</w:t>
            </w:r>
          </w:p>
        </w:tc>
        <w:tc>
          <w:tcPr>
            <w:tcW w:w="1055" w:type="dxa"/>
            <w:tcBorders>
              <w:top w:val="nil"/>
              <w:left w:val="nil"/>
              <w:bottom w:val="nil"/>
              <w:right w:val="nil"/>
            </w:tcBorders>
            <w:shd w:val="clear" w:color="auto" w:fill="auto"/>
            <w:noWrap/>
            <w:vAlign w:val="bottom"/>
            <w:hideMark/>
          </w:tcPr>
          <w:p w14:paraId="57E4D9EC" w14:textId="77777777" w:rsidR="005E72EC" w:rsidRPr="002C2316" w:rsidRDefault="005E72EC" w:rsidP="004F0D35">
            <w:pPr>
              <w:spacing w:after="0" w:line="240" w:lineRule="auto"/>
              <w:jc w:val="center"/>
              <w:rPr>
                <w:rFonts w:ascii="Trebuchet MS" w:eastAsia="Times New Roman" w:hAnsi="Trebuchet MS" w:cs="Arial"/>
                <w:color w:val="0070C0"/>
                <w:sz w:val="16"/>
                <w:szCs w:val="16"/>
                <w:lang w:eastAsia="en-GB"/>
              </w:rPr>
            </w:pPr>
          </w:p>
        </w:tc>
        <w:tc>
          <w:tcPr>
            <w:tcW w:w="835" w:type="dxa"/>
            <w:tcBorders>
              <w:top w:val="nil"/>
              <w:left w:val="nil"/>
              <w:bottom w:val="nil"/>
              <w:right w:val="nil"/>
            </w:tcBorders>
            <w:shd w:val="clear" w:color="auto" w:fill="auto"/>
            <w:noWrap/>
            <w:vAlign w:val="bottom"/>
            <w:hideMark/>
          </w:tcPr>
          <w:p w14:paraId="01890622"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c>
          <w:tcPr>
            <w:tcW w:w="807" w:type="dxa"/>
            <w:tcBorders>
              <w:top w:val="nil"/>
              <w:left w:val="nil"/>
              <w:bottom w:val="nil"/>
              <w:right w:val="nil"/>
            </w:tcBorders>
            <w:shd w:val="clear" w:color="auto" w:fill="auto"/>
            <w:noWrap/>
            <w:vAlign w:val="bottom"/>
            <w:hideMark/>
          </w:tcPr>
          <w:p w14:paraId="00BD0033"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c>
          <w:tcPr>
            <w:tcW w:w="807" w:type="dxa"/>
            <w:tcBorders>
              <w:top w:val="nil"/>
              <w:left w:val="nil"/>
              <w:bottom w:val="nil"/>
              <w:right w:val="nil"/>
            </w:tcBorders>
            <w:shd w:val="clear" w:color="auto" w:fill="auto"/>
            <w:noWrap/>
            <w:vAlign w:val="bottom"/>
            <w:hideMark/>
          </w:tcPr>
          <w:p w14:paraId="6DBD60B2"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r>
      <w:tr w:rsidR="005E72EC" w:rsidRPr="002C2316" w14:paraId="2B05382C" w14:textId="77777777" w:rsidTr="004F0D35">
        <w:trPr>
          <w:trHeight w:val="257"/>
        </w:trPr>
        <w:tc>
          <w:tcPr>
            <w:tcW w:w="1499" w:type="dxa"/>
            <w:tcBorders>
              <w:top w:val="nil"/>
              <w:left w:val="nil"/>
              <w:bottom w:val="nil"/>
              <w:right w:val="nil"/>
            </w:tcBorders>
            <w:shd w:val="clear" w:color="auto" w:fill="auto"/>
            <w:noWrap/>
            <w:vAlign w:val="center"/>
            <w:hideMark/>
          </w:tcPr>
          <w:p w14:paraId="70D7833B" w14:textId="77777777" w:rsidR="005E72EC" w:rsidRPr="002C2316" w:rsidRDefault="005E72EC" w:rsidP="004F0D35">
            <w:pPr>
              <w:spacing w:after="0" w:line="240" w:lineRule="auto"/>
              <w:jc w:val="center"/>
              <w:rPr>
                <w:rFonts w:ascii="Trebuchet MS" w:eastAsia="Times New Roman" w:hAnsi="Trebuchet MS" w:cs="Times New Roman"/>
                <w:b/>
                <w:bCs/>
                <w:color w:val="000000"/>
                <w:sz w:val="16"/>
                <w:szCs w:val="16"/>
                <w:lang w:eastAsia="en-GB"/>
              </w:rPr>
            </w:pPr>
            <w:r w:rsidRPr="002C2316">
              <w:rPr>
                <w:rFonts w:ascii="Trebuchet MS" w:eastAsia="Times New Roman" w:hAnsi="Trebuchet MS" w:cs="Times New Roman"/>
                <w:b/>
                <w:bCs/>
                <w:color w:val="000000"/>
                <w:sz w:val="16"/>
                <w:szCs w:val="16"/>
                <w:lang w:eastAsia="en-GB"/>
              </w:rPr>
              <w:t>AGIL</w:t>
            </w:r>
          </w:p>
        </w:tc>
        <w:tc>
          <w:tcPr>
            <w:tcW w:w="812" w:type="dxa"/>
            <w:tcBorders>
              <w:top w:val="nil"/>
              <w:left w:val="single" w:sz="8" w:space="0" w:color="0070C0"/>
              <w:bottom w:val="single" w:sz="8" w:space="0" w:color="0070C0"/>
              <w:right w:val="nil"/>
            </w:tcBorders>
            <w:shd w:val="clear" w:color="auto" w:fill="auto"/>
            <w:noWrap/>
            <w:vAlign w:val="center"/>
            <w:hideMark/>
          </w:tcPr>
          <w:p w14:paraId="16D268DF" w14:textId="77777777" w:rsidR="005E72EC" w:rsidRPr="002C2316" w:rsidRDefault="005E72EC" w:rsidP="004F0D35">
            <w:pPr>
              <w:spacing w:after="0" w:line="240" w:lineRule="auto"/>
              <w:jc w:val="right"/>
              <w:rPr>
                <w:rFonts w:ascii="Trebuchet MS" w:eastAsia="Times New Roman" w:hAnsi="Trebuchet MS" w:cs="Arial"/>
                <w:color w:val="0070C0"/>
                <w:sz w:val="16"/>
                <w:szCs w:val="16"/>
                <w:lang w:eastAsia="en-GB"/>
              </w:rPr>
            </w:pPr>
            <w:r w:rsidRPr="002C2316">
              <w:rPr>
                <w:rFonts w:ascii="Trebuchet MS" w:eastAsia="Times New Roman" w:hAnsi="Trebuchet MS" w:cs="Arial"/>
                <w:color w:val="0070C0"/>
                <w:sz w:val="16"/>
                <w:szCs w:val="16"/>
                <w:lang w:eastAsia="en-GB"/>
              </w:rPr>
              <w:t>UK</w:t>
            </w:r>
          </w:p>
        </w:tc>
        <w:tc>
          <w:tcPr>
            <w:tcW w:w="1055" w:type="dxa"/>
            <w:tcBorders>
              <w:top w:val="nil"/>
              <w:left w:val="nil"/>
              <w:bottom w:val="single" w:sz="8" w:space="0" w:color="0070C0"/>
              <w:right w:val="nil"/>
            </w:tcBorders>
            <w:shd w:val="clear" w:color="auto" w:fill="auto"/>
            <w:noWrap/>
            <w:vAlign w:val="center"/>
            <w:hideMark/>
          </w:tcPr>
          <w:p w14:paraId="210DDEFF" w14:textId="77777777" w:rsidR="005E72EC" w:rsidRPr="002C2316" w:rsidRDefault="005E72EC" w:rsidP="004F0D35">
            <w:pPr>
              <w:spacing w:after="0" w:line="240" w:lineRule="auto"/>
              <w:jc w:val="right"/>
              <w:rPr>
                <w:rFonts w:ascii="Trebuchet MS" w:eastAsia="Times New Roman" w:hAnsi="Trebuchet MS" w:cs="Arial"/>
                <w:color w:val="0070C0"/>
                <w:sz w:val="16"/>
                <w:szCs w:val="16"/>
                <w:lang w:eastAsia="en-GB"/>
              </w:rPr>
            </w:pPr>
            <w:r w:rsidRPr="002C2316">
              <w:rPr>
                <w:rFonts w:ascii="Trebuchet MS" w:eastAsia="Times New Roman" w:hAnsi="Trebuchet MS" w:cs="Arial"/>
                <w:color w:val="0070C0"/>
                <w:sz w:val="16"/>
                <w:szCs w:val="16"/>
                <w:lang w:eastAsia="en-GB"/>
              </w:rPr>
              <w:t>EU</w:t>
            </w:r>
          </w:p>
        </w:tc>
        <w:tc>
          <w:tcPr>
            <w:tcW w:w="922" w:type="dxa"/>
            <w:tcBorders>
              <w:top w:val="nil"/>
              <w:left w:val="single" w:sz="8" w:space="0" w:color="0070C0"/>
              <w:bottom w:val="single" w:sz="8" w:space="0" w:color="0070C0"/>
              <w:right w:val="single" w:sz="8" w:space="0" w:color="0070C0"/>
            </w:tcBorders>
            <w:shd w:val="clear" w:color="auto" w:fill="auto"/>
            <w:noWrap/>
            <w:vAlign w:val="center"/>
            <w:hideMark/>
          </w:tcPr>
          <w:p w14:paraId="2C30A804" w14:textId="77777777" w:rsidR="005E72EC" w:rsidRPr="002C2316" w:rsidRDefault="005E72EC" w:rsidP="004F0D35">
            <w:pPr>
              <w:spacing w:after="0" w:line="240" w:lineRule="auto"/>
              <w:jc w:val="right"/>
              <w:rPr>
                <w:rFonts w:ascii="Trebuchet MS" w:eastAsia="Times New Roman" w:hAnsi="Trebuchet MS" w:cs="Arial"/>
                <w:color w:val="0070C0"/>
                <w:sz w:val="16"/>
                <w:szCs w:val="16"/>
                <w:lang w:eastAsia="en-GB"/>
              </w:rPr>
            </w:pPr>
            <w:r w:rsidRPr="002C2316">
              <w:rPr>
                <w:rFonts w:ascii="Trebuchet MS" w:eastAsia="Times New Roman" w:hAnsi="Trebuchet MS" w:cs="Arial"/>
                <w:color w:val="0070C0"/>
                <w:sz w:val="16"/>
                <w:szCs w:val="16"/>
                <w:lang w:eastAsia="en-GB"/>
              </w:rPr>
              <w:t>Total</w:t>
            </w:r>
          </w:p>
        </w:tc>
        <w:tc>
          <w:tcPr>
            <w:tcW w:w="812" w:type="dxa"/>
            <w:tcBorders>
              <w:top w:val="nil"/>
              <w:left w:val="nil"/>
              <w:bottom w:val="single" w:sz="8" w:space="0" w:color="0070C0"/>
              <w:right w:val="nil"/>
            </w:tcBorders>
            <w:shd w:val="clear" w:color="auto" w:fill="auto"/>
            <w:noWrap/>
            <w:vAlign w:val="center"/>
            <w:hideMark/>
          </w:tcPr>
          <w:p w14:paraId="61AA70F3" w14:textId="77777777" w:rsidR="005E72EC" w:rsidRPr="002C2316" w:rsidRDefault="005E72EC" w:rsidP="004F0D35">
            <w:pPr>
              <w:spacing w:after="0" w:line="240" w:lineRule="auto"/>
              <w:jc w:val="right"/>
              <w:rPr>
                <w:rFonts w:ascii="Trebuchet MS" w:eastAsia="Times New Roman" w:hAnsi="Trebuchet MS" w:cs="Arial"/>
                <w:color w:val="0070C0"/>
                <w:sz w:val="16"/>
                <w:szCs w:val="16"/>
                <w:lang w:eastAsia="en-GB"/>
              </w:rPr>
            </w:pPr>
            <w:r w:rsidRPr="002C2316">
              <w:rPr>
                <w:rFonts w:ascii="Trebuchet MS" w:eastAsia="Times New Roman" w:hAnsi="Trebuchet MS" w:cs="Arial"/>
                <w:color w:val="0070C0"/>
                <w:sz w:val="16"/>
                <w:szCs w:val="16"/>
                <w:lang w:eastAsia="en-GB"/>
              </w:rPr>
              <w:t>UK</w:t>
            </w:r>
          </w:p>
        </w:tc>
        <w:tc>
          <w:tcPr>
            <w:tcW w:w="807" w:type="dxa"/>
            <w:tcBorders>
              <w:top w:val="nil"/>
              <w:left w:val="nil"/>
              <w:bottom w:val="single" w:sz="8" w:space="0" w:color="0070C0"/>
              <w:right w:val="nil"/>
            </w:tcBorders>
            <w:shd w:val="clear" w:color="auto" w:fill="auto"/>
            <w:noWrap/>
            <w:vAlign w:val="center"/>
            <w:hideMark/>
          </w:tcPr>
          <w:p w14:paraId="62BC0FC3" w14:textId="77777777" w:rsidR="005E72EC" w:rsidRPr="002C2316" w:rsidRDefault="005E72EC" w:rsidP="004F0D35">
            <w:pPr>
              <w:spacing w:after="0" w:line="240" w:lineRule="auto"/>
              <w:jc w:val="right"/>
              <w:rPr>
                <w:rFonts w:ascii="Trebuchet MS" w:eastAsia="Times New Roman" w:hAnsi="Trebuchet MS" w:cs="Arial"/>
                <w:color w:val="0070C0"/>
                <w:sz w:val="16"/>
                <w:szCs w:val="16"/>
                <w:lang w:eastAsia="en-GB"/>
              </w:rPr>
            </w:pPr>
            <w:r w:rsidRPr="002C2316">
              <w:rPr>
                <w:rFonts w:ascii="Trebuchet MS" w:eastAsia="Times New Roman" w:hAnsi="Trebuchet MS" w:cs="Arial"/>
                <w:color w:val="0070C0"/>
                <w:sz w:val="16"/>
                <w:szCs w:val="16"/>
                <w:lang w:eastAsia="en-GB"/>
              </w:rPr>
              <w:t>EU</w:t>
            </w:r>
          </w:p>
        </w:tc>
        <w:tc>
          <w:tcPr>
            <w:tcW w:w="812" w:type="dxa"/>
            <w:tcBorders>
              <w:top w:val="nil"/>
              <w:left w:val="single" w:sz="8" w:space="0" w:color="0070C0"/>
              <w:bottom w:val="single" w:sz="8" w:space="0" w:color="0070C0"/>
              <w:right w:val="single" w:sz="8" w:space="0" w:color="0070C0"/>
            </w:tcBorders>
            <w:shd w:val="clear" w:color="auto" w:fill="auto"/>
            <w:noWrap/>
            <w:vAlign w:val="center"/>
            <w:hideMark/>
          </w:tcPr>
          <w:p w14:paraId="63B5A4D9" w14:textId="77777777" w:rsidR="005E72EC" w:rsidRPr="002C2316" w:rsidRDefault="005E72EC" w:rsidP="004F0D35">
            <w:pPr>
              <w:spacing w:after="0" w:line="240" w:lineRule="auto"/>
              <w:jc w:val="right"/>
              <w:rPr>
                <w:rFonts w:ascii="Trebuchet MS" w:eastAsia="Times New Roman" w:hAnsi="Trebuchet MS" w:cs="Arial"/>
                <w:color w:val="0070C0"/>
                <w:sz w:val="16"/>
                <w:szCs w:val="16"/>
                <w:lang w:eastAsia="en-GB"/>
              </w:rPr>
            </w:pPr>
            <w:r w:rsidRPr="002C2316">
              <w:rPr>
                <w:rFonts w:ascii="Trebuchet MS" w:eastAsia="Times New Roman" w:hAnsi="Trebuchet MS" w:cs="Arial"/>
                <w:color w:val="0070C0"/>
                <w:sz w:val="16"/>
                <w:szCs w:val="16"/>
                <w:lang w:eastAsia="en-GB"/>
              </w:rPr>
              <w:t>Total</w:t>
            </w:r>
          </w:p>
        </w:tc>
        <w:tc>
          <w:tcPr>
            <w:tcW w:w="1055" w:type="dxa"/>
            <w:tcBorders>
              <w:top w:val="nil"/>
              <w:left w:val="nil"/>
              <w:bottom w:val="nil"/>
              <w:right w:val="nil"/>
            </w:tcBorders>
            <w:shd w:val="clear" w:color="auto" w:fill="auto"/>
            <w:noWrap/>
            <w:vAlign w:val="bottom"/>
            <w:hideMark/>
          </w:tcPr>
          <w:p w14:paraId="4A820015" w14:textId="77777777" w:rsidR="005E72EC" w:rsidRPr="002C2316" w:rsidRDefault="005E72EC" w:rsidP="004F0D35">
            <w:pPr>
              <w:spacing w:after="0" w:line="240" w:lineRule="auto"/>
              <w:rPr>
                <w:rFonts w:ascii="Trebuchet MS" w:eastAsia="Times New Roman" w:hAnsi="Trebuchet MS" w:cs="Arial"/>
                <w:color w:val="0070C0"/>
                <w:sz w:val="16"/>
                <w:szCs w:val="16"/>
                <w:lang w:eastAsia="en-GB"/>
              </w:rPr>
            </w:pPr>
          </w:p>
        </w:tc>
        <w:tc>
          <w:tcPr>
            <w:tcW w:w="835" w:type="dxa"/>
            <w:tcBorders>
              <w:top w:val="nil"/>
              <w:left w:val="nil"/>
              <w:bottom w:val="nil"/>
              <w:right w:val="nil"/>
            </w:tcBorders>
            <w:shd w:val="clear" w:color="auto" w:fill="auto"/>
            <w:noWrap/>
            <w:vAlign w:val="bottom"/>
            <w:hideMark/>
          </w:tcPr>
          <w:p w14:paraId="784A0B01"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c>
          <w:tcPr>
            <w:tcW w:w="807" w:type="dxa"/>
            <w:tcBorders>
              <w:top w:val="nil"/>
              <w:left w:val="nil"/>
              <w:bottom w:val="nil"/>
              <w:right w:val="nil"/>
            </w:tcBorders>
            <w:shd w:val="clear" w:color="auto" w:fill="auto"/>
            <w:noWrap/>
            <w:vAlign w:val="bottom"/>
            <w:hideMark/>
          </w:tcPr>
          <w:p w14:paraId="4B951C59"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c>
          <w:tcPr>
            <w:tcW w:w="807" w:type="dxa"/>
            <w:tcBorders>
              <w:top w:val="nil"/>
              <w:left w:val="nil"/>
              <w:bottom w:val="nil"/>
              <w:right w:val="nil"/>
            </w:tcBorders>
            <w:shd w:val="clear" w:color="auto" w:fill="auto"/>
            <w:noWrap/>
            <w:vAlign w:val="bottom"/>
            <w:hideMark/>
          </w:tcPr>
          <w:p w14:paraId="326D6D41"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r>
      <w:tr w:rsidR="005E72EC" w:rsidRPr="002C2316" w14:paraId="06DF1C39" w14:textId="77777777" w:rsidTr="004F0D35">
        <w:trPr>
          <w:trHeight w:val="238"/>
        </w:trPr>
        <w:tc>
          <w:tcPr>
            <w:tcW w:w="1499" w:type="dxa"/>
            <w:tcBorders>
              <w:top w:val="single" w:sz="8" w:space="0" w:color="0070C0"/>
              <w:left w:val="single" w:sz="8" w:space="0" w:color="0070C0"/>
              <w:bottom w:val="single" w:sz="8" w:space="0" w:color="0070C0"/>
              <w:right w:val="single" w:sz="8" w:space="0" w:color="0070C0"/>
            </w:tcBorders>
            <w:shd w:val="clear" w:color="auto" w:fill="auto"/>
            <w:noWrap/>
            <w:vAlign w:val="center"/>
            <w:hideMark/>
          </w:tcPr>
          <w:p w14:paraId="0248B67F" w14:textId="77777777" w:rsidR="005E72EC" w:rsidRPr="002C2316" w:rsidRDefault="005E72EC" w:rsidP="004F0D35">
            <w:pPr>
              <w:spacing w:after="0" w:line="240" w:lineRule="auto"/>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Claims Provision</w:t>
            </w:r>
          </w:p>
        </w:tc>
        <w:tc>
          <w:tcPr>
            <w:tcW w:w="812" w:type="dxa"/>
            <w:tcBorders>
              <w:top w:val="nil"/>
              <w:left w:val="nil"/>
              <w:bottom w:val="single" w:sz="8" w:space="0" w:color="0070C0"/>
              <w:right w:val="nil"/>
            </w:tcBorders>
            <w:shd w:val="clear" w:color="auto" w:fill="auto"/>
            <w:noWrap/>
            <w:vAlign w:val="center"/>
            <w:hideMark/>
          </w:tcPr>
          <w:p w14:paraId="3A8DD6B1"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6,609</w:t>
            </w:r>
          </w:p>
        </w:tc>
        <w:tc>
          <w:tcPr>
            <w:tcW w:w="1055" w:type="dxa"/>
            <w:tcBorders>
              <w:top w:val="nil"/>
              <w:left w:val="nil"/>
              <w:bottom w:val="single" w:sz="8" w:space="0" w:color="0070C0"/>
              <w:right w:val="nil"/>
            </w:tcBorders>
            <w:shd w:val="clear" w:color="auto" w:fill="auto"/>
            <w:noWrap/>
            <w:vAlign w:val="center"/>
            <w:hideMark/>
          </w:tcPr>
          <w:p w14:paraId="6E7212C0"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7,689</w:t>
            </w:r>
          </w:p>
        </w:tc>
        <w:tc>
          <w:tcPr>
            <w:tcW w:w="922" w:type="dxa"/>
            <w:tcBorders>
              <w:top w:val="nil"/>
              <w:left w:val="single" w:sz="8" w:space="0" w:color="0070C0"/>
              <w:bottom w:val="single" w:sz="8" w:space="0" w:color="0070C0"/>
              <w:right w:val="single" w:sz="8" w:space="0" w:color="0070C0"/>
            </w:tcBorders>
            <w:shd w:val="clear" w:color="auto" w:fill="auto"/>
            <w:noWrap/>
            <w:vAlign w:val="center"/>
            <w:hideMark/>
          </w:tcPr>
          <w:p w14:paraId="2946476A"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14,298</w:t>
            </w:r>
          </w:p>
        </w:tc>
        <w:tc>
          <w:tcPr>
            <w:tcW w:w="812" w:type="dxa"/>
            <w:tcBorders>
              <w:top w:val="nil"/>
              <w:left w:val="nil"/>
              <w:bottom w:val="single" w:sz="8" w:space="0" w:color="0070C0"/>
              <w:right w:val="nil"/>
            </w:tcBorders>
            <w:shd w:val="clear" w:color="auto" w:fill="auto"/>
            <w:noWrap/>
            <w:vAlign w:val="center"/>
            <w:hideMark/>
          </w:tcPr>
          <w:p w14:paraId="082E6422"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6,609</w:t>
            </w:r>
          </w:p>
        </w:tc>
        <w:tc>
          <w:tcPr>
            <w:tcW w:w="807" w:type="dxa"/>
            <w:tcBorders>
              <w:top w:val="nil"/>
              <w:left w:val="nil"/>
              <w:bottom w:val="single" w:sz="8" w:space="0" w:color="0070C0"/>
              <w:right w:val="nil"/>
            </w:tcBorders>
            <w:shd w:val="clear" w:color="auto" w:fill="auto"/>
            <w:noWrap/>
            <w:vAlign w:val="center"/>
            <w:hideMark/>
          </w:tcPr>
          <w:p w14:paraId="76C42FC9"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0</w:t>
            </w:r>
          </w:p>
        </w:tc>
        <w:tc>
          <w:tcPr>
            <w:tcW w:w="812" w:type="dxa"/>
            <w:tcBorders>
              <w:top w:val="nil"/>
              <w:left w:val="single" w:sz="8" w:space="0" w:color="0070C0"/>
              <w:bottom w:val="single" w:sz="8" w:space="0" w:color="0070C0"/>
              <w:right w:val="single" w:sz="8" w:space="0" w:color="0070C0"/>
            </w:tcBorders>
            <w:shd w:val="clear" w:color="auto" w:fill="auto"/>
            <w:noWrap/>
            <w:vAlign w:val="center"/>
            <w:hideMark/>
          </w:tcPr>
          <w:p w14:paraId="5F6A1E24"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6,609</w:t>
            </w:r>
          </w:p>
        </w:tc>
        <w:tc>
          <w:tcPr>
            <w:tcW w:w="1055" w:type="dxa"/>
            <w:tcBorders>
              <w:top w:val="nil"/>
              <w:left w:val="nil"/>
              <w:bottom w:val="nil"/>
              <w:right w:val="nil"/>
            </w:tcBorders>
            <w:shd w:val="clear" w:color="auto" w:fill="auto"/>
            <w:noWrap/>
            <w:vAlign w:val="bottom"/>
            <w:hideMark/>
          </w:tcPr>
          <w:p w14:paraId="0513291E"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p>
        </w:tc>
        <w:tc>
          <w:tcPr>
            <w:tcW w:w="835" w:type="dxa"/>
            <w:tcBorders>
              <w:top w:val="nil"/>
              <w:left w:val="nil"/>
              <w:bottom w:val="nil"/>
              <w:right w:val="nil"/>
            </w:tcBorders>
            <w:shd w:val="clear" w:color="auto" w:fill="auto"/>
            <w:noWrap/>
            <w:vAlign w:val="bottom"/>
            <w:hideMark/>
          </w:tcPr>
          <w:p w14:paraId="4B1D15CD"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c>
          <w:tcPr>
            <w:tcW w:w="807" w:type="dxa"/>
            <w:tcBorders>
              <w:top w:val="nil"/>
              <w:left w:val="nil"/>
              <w:bottom w:val="nil"/>
              <w:right w:val="nil"/>
            </w:tcBorders>
            <w:shd w:val="clear" w:color="auto" w:fill="auto"/>
            <w:noWrap/>
            <w:vAlign w:val="bottom"/>
            <w:hideMark/>
          </w:tcPr>
          <w:p w14:paraId="35DA3243"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c>
          <w:tcPr>
            <w:tcW w:w="807" w:type="dxa"/>
            <w:tcBorders>
              <w:top w:val="nil"/>
              <w:left w:val="nil"/>
              <w:bottom w:val="nil"/>
              <w:right w:val="nil"/>
            </w:tcBorders>
            <w:shd w:val="clear" w:color="auto" w:fill="auto"/>
            <w:noWrap/>
            <w:vAlign w:val="bottom"/>
            <w:hideMark/>
          </w:tcPr>
          <w:p w14:paraId="0EC7178C"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r>
      <w:tr w:rsidR="005E72EC" w:rsidRPr="002C2316" w14:paraId="39D243AB" w14:textId="77777777" w:rsidTr="004F0D35">
        <w:trPr>
          <w:trHeight w:val="238"/>
        </w:trPr>
        <w:tc>
          <w:tcPr>
            <w:tcW w:w="1499" w:type="dxa"/>
            <w:tcBorders>
              <w:top w:val="nil"/>
              <w:left w:val="single" w:sz="8" w:space="0" w:color="0070C0"/>
              <w:bottom w:val="single" w:sz="8" w:space="0" w:color="0070C0"/>
              <w:right w:val="single" w:sz="8" w:space="0" w:color="0070C0"/>
            </w:tcBorders>
            <w:shd w:val="clear" w:color="auto" w:fill="auto"/>
            <w:noWrap/>
            <w:vAlign w:val="center"/>
            <w:hideMark/>
          </w:tcPr>
          <w:p w14:paraId="384A5953" w14:textId="77777777" w:rsidR="005E72EC" w:rsidRPr="002C2316" w:rsidRDefault="005E72EC" w:rsidP="004F0D35">
            <w:pPr>
              <w:spacing w:after="0" w:line="240" w:lineRule="auto"/>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Premium Provision</w:t>
            </w:r>
          </w:p>
        </w:tc>
        <w:tc>
          <w:tcPr>
            <w:tcW w:w="812" w:type="dxa"/>
            <w:tcBorders>
              <w:top w:val="nil"/>
              <w:left w:val="nil"/>
              <w:bottom w:val="single" w:sz="8" w:space="0" w:color="0070C0"/>
              <w:right w:val="nil"/>
            </w:tcBorders>
            <w:shd w:val="clear" w:color="auto" w:fill="auto"/>
            <w:noWrap/>
            <w:vAlign w:val="center"/>
            <w:hideMark/>
          </w:tcPr>
          <w:p w14:paraId="17519BD9"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FF0000"/>
                <w:sz w:val="16"/>
                <w:szCs w:val="16"/>
                <w:lang w:eastAsia="en-GB"/>
              </w:rPr>
              <w:t>(11,481)</w:t>
            </w:r>
          </w:p>
        </w:tc>
        <w:tc>
          <w:tcPr>
            <w:tcW w:w="1055" w:type="dxa"/>
            <w:tcBorders>
              <w:top w:val="nil"/>
              <w:left w:val="nil"/>
              <w:bottom w:val="single" w:sz="8" w:space="0" w:color="0070C0"/>
              <w:right w:val="nil"/>
            </w:tcBorders>
            <w:shd w:val="clear" w:color="auto" w:fill="auto"/>
            <w:noWrap/>
            <w:vAlign w:val="center"/>
            <w:hideMark/>
          </w:tcPr>
          <w:p w14:paraId="30D48D61"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12,607</w:t>
            </w:r>
          </w:p>
        </w:tc>
        <w:tc>
          <w:tcPr>
            <w:tcW w:w="922" w:type="dxa"/>
            <w:tcBorders>
              <w:top w:val="nil"/>
              <w:left w:val="single" w:sz="8" w:space="0" w:color="0070C0"/>
              <w:bottom w:val="single" w:sz="8" w:space="0" w:color="0070C0"/>
              <w:right w:val="single" w:sz="8" w:space="0" w:color="0070C0"/>
            </w:tcBorders>
            <w:shd w:val="clear" w:color="auto" w:fill="auto"/>
            <w:noWrap/>
            <w:vAlign w:val="center"/>
            <w:hideMark/>
          </w:tcPr>
          <w:p w14:paraId="654088E5"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1,126</w:t>
            </w:r>
          </w:p>
        </w:tc>
        <w:tc>
          <w:tcPr>
            <w:tcW w:w="812" w:type="dxa"/>
            <w:tcBorders>
              <w:top w:val="nil"/>
              <w:left w:val="nil"/>
              <w:bottom w:val="single" w:sz="8" w:space="0" w:color="0070C0"/>
              <w:right w:val="nil"/>
            </w:tcBorders>
            <w:shd w:val="clear" w:color="auto" w:fill="auto"/>
            <w:noWrap/>
            <w:vAlign w:val="center"/>
            <w:hideMark/>
          </w:tcPr>
          <w:p w14:paraId="77D09E0B"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FF0000"/>
                <w:sz w:val="16"/>
                <w:szCs w:val="16"/>
                <w:lang w:eastAsia="en-GB"/>
              </w:rPr>
              <w:t>(11,481)</w:t>
            </w:r>
          </w:p>
        </w:tc>
        <w:tc>
          <w:tcPr>
            <w:tcW w:w="807" w:type="dxa"/>
            <w:tcBorders>
              <w:top w:val="nil"/>
              <w:left w:val="nil"/>
              <w:bottom w:val="single" w:sz="8" w:space="0" w:color="0070C0"/>
              <w:right w:val="nil"/>
            </w:tcBorders>
            <w:shd w:val="clear" w:color="auto" w:fill="auto"/>
            <w:noWrap/>
            <w:vAlign w:val="center"/>
            <w:hideMark/>
          </w:tcPr>
          <w:p w14:paraId="194BF892"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0</w:t>
            </w:r>
          </w:p>
        </w:tc>
        <w:tc>
          <w:tcPr>
            <w:tcW w:w="812" w:type="dxa"/>
            <w:tcBorders>
              <w:top w:val="nil"/>
              <w:left w:val="single" w:sz="8" w:space="0" w:color="0070C0"/>
              <w:bottom w:val="single" w:sz="8" w:space="0" w:color="0070C0"/>
              <w:right w:val="single" w:sz="8" w:space="0" w:color="0070C0"/>
            </w:tcBorders>
            <w:shd w:val="clear" w:color="auto" w:fill="auto"/>
            <w:noWrap/>
            <w:vAlign w:val="center"/>
            <w:hideMark/>
          </w:tcPr>
          <w:p w14:paraId="128BB429"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FF0000"/>
                <w:sz w:val="16"/>
                <w:szCs w:val="16"/>
                <w:lang w:eastAsia="en-GB"/>
              </w:rPr>
              <w:t>(11,481)</w:t>
            </w:r>
          </w:p>
        </w:tc>
        <w:tc>
          <w:tcPr>
            <w:tcW w:w="1055" w:type="dxa"/>
            <w:tcBorders>
              <w:top w:val="nil"/>
              <w:left w:val="nil"/>
              <w:bottom w:val="nil"/>
              <w:right w:val="nil"/>
            </w:tcBorders>
            <w:shd w:val="clear" w:color="auto" w:fill="auto"/>
            <w:noWrap/>
            <w:vAlign w:val="bottom"/>
            <w:hideMark/>
          </w:tcPr>
          <w:p w14:paraId="148B4870"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p>
        </w:tc>
        <w:tc>
          <w:tcPr>
            <w:tcW w:w="835" w:type="dxa"/>
            <w:tcBorders>
              <w:top w:val="nil"/>
              <w:left w:val="nil"/>
              <w:bottom w:val="nil"/>
              <w:right w:val="nil"/>
            </w:tcBorders>
            <w:shd w:val="clear" w:color="auto" w:fill="auto"/>
            <w:noWrap/>
            <w:vAlign w:val="bottom"/>
            <w:hideMark/>
          </w:tcPr>
          <w:p w14:paraId="3E66A55D"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c>
          <w:tcPr>
            <w:tcW w:w="807" w:type="dxa"/>
            <w:tcBorders>
              <w:top w:val="nil"/>
              <w:left w:val="nil"/>
              <w:bottom w:val="nil"/>
              <w:right w:val="nil"/>
            </w:tcBorders>
            <w:shd w:val="clear" w:color="auto" w:fill="auto"/>
            <w:noWrap/>
            <w:vAlign w:val="bottom"/>
            <w:hideMark/>
          </w:tcPr>
          <w:p w14:paraId="02E2AEDD"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c>
          <w:tcPr>
            <w:tcW w:w="807" w:type="dxa"/>
            <w:tcBorders>
              <w:top w:val="nil"/>
              <w:left w:val="nil"/>
              <w:bottom w:val="nil"/>
              <w:right w:val="nil"/>
            </w:tcBorders>
            <w:shd w:val="clear" w:color="auto" w:fill="auto"/>
            <w:noWrap/>
            <w:vAlign w:val="bottom"/>
            <w:hideMark/>
          </w:tcPr>
          <w:p w14:paraId="4D5B121A"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r>
      <w:tr w:rsidR="005E72EC" w:rsidRPr="002C2316" w14:paraId="3792F39C" w14:textId="77777777" w:rsidTr="004F0D35">
        <w:trPr>
          <w:trHeight w:val="238"/>
        </w:trPr>
        <w:tc>
          <w:tcPr>
            <w:tcW w:w="1499" w:type="dxa"/>
            <w:tcBorders>
              <w:top w:val="nil"/>
              <w:left w:val="single" w:sz="8" w:space="0" w:color="0070C0"/>
              <w:bottom w:val="single" w:sz="8" w:space="0" w:color="0070C0"/>
              <w:right w:val="single" w:sz="8" w:space="0" w:color="0070C0"/>
            </w:tcBorders>
            <w:shd w:val="clear" w:color="auto" w:fill="auto"/>
            <w:noWrap/>
            <w:vAlign w:val="center"/>
            <w:hideMark/>
          </w:tcPr>
          <w:p w14:paraId="527AC7E5" w14:textId="77777777" w:rsidR="005E72EC" w:rsidRPr="002C2316" w:rsidRDefault="005E72EC" w:rsidP="004F0D35">
            <w:pPr>
              <w:spacing w:after="0" w:line="240" w:lineRule="auto"/>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Total</w:t>
            </w:r>
          </w:p>
        </w:tc>
        <w:tc>
          <w:tcPr>
            <w:tcW w:w="812" w:type="dxa"/>
            <w:tcBorders>
              <w:top w:val="nil"/>
              <w:left w:val="nil"/>
              <w:bottom w:val="single" w:sz="8" w:space="0" w:color="0070C0"/>
              <w:right w:val="nil"/>
            </w:tcBorders>
            <w:shd w:val="clear" w:color="auto" w:fill="auto"/>
            <w:noWrap/>
            <w:vAlign w:val="center"/>
            <w:hideMark/>
          </w:tcPr>
          <w:p w14:paraId="4B536EB0"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FF0000"/>
                <w:sz w:val="16"/>
                <w:szCs w:val="16"/>
                <w:lang w:eastAsia="en-GB"/>
              </w:rPr>
              <w:t>(4,872)</w:t>
            </w:r>
          </w:p>
        </w:tc>
        <w:tc>
          <w:tcPr>
            <w:tcW w:w="1055" w:type="dxa"/>
            <w:tcBorders>
              <w:top w:val="nil"/>
              <w:left w:val="nil"/>
              <w:bottom w:val="single" w:sz="8" w:space="0" w:color="0070C0"/>
              <w:right w:val="nil"/>
            </w:tcBorders>
            <w:shd w:val="clear" w:color="auto" w:fill="auto"/>
            <w:noWrap/>
            <w:vAlign w:val="center"/>
            <w:hideMark/>
          </w:tcPr>
          <w:p w14:paraId="5ACA2F40"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20,296</w:t>
            </w:r>
          </w:p>
        </w:tc>
        <w:tc>
          <w:tcPr>
            <w:tcW w:w="922" w:type="dxa"/>
            <w:tcBorders>
              <w:top w:val="nil"/>
              <w:left w:val="single" w:sz="8" w:space="0" w:color="0070C0"/>
              <w:bottom w:val="single" w:sz="8" w:space="0" w:color="0070C0"/>
              <w:right w:val="single" w:sz="8" w:space="0" w:color="0070C0"/>
            </w:tcBorders>
            <w:shd w:val="clear" w:color="auto" w:fill="auto"/>
            <w:noWrap/>
            <w:vAlign w:val="center"/>
            <w:hideMark/>
          </w:tcPr>
          <w:p w14:paraId="198397DF"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15,424</w:t>
            </w:r>
          </w:p>
        </w:tc>
        <w:tc>
          <w:tcPr>
            <w:tcW w:w="812" w:type="dxa"/>
            <w:tcBorders>
              <w:top w:val="nil"/>
              <w:left w:val="nil"/>
              <w:bottom w:val="single" w:sz="8" w:space="0" w:color="0070C0"/>
              <w:right w:val="nil"/>
            </w:tcBorders>
            <w:shd w:val="clear" w:color="auto" w:fill="auto"/>
            <w:noWrap/>
            <w:vAlign w:val="center"/>
            <w:hideMark/>
          </w:tcPr>
          <w:p w14:paraId="686615E2"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FF0000"/>
                <w:sz w:val="16"/>
                <w:szCs w:val="16"/>
                <w:lang w:eastAsia="en-GB"/>
              </w:rPr>
              <w:t>(4,872)</w:t>
            </w:r>
          </w:p>
        </w:tc>
        <w:tc>
          <w:tcPr>
            <w:tcW w:w="807" w:type="dxa"/>
            <w:tcBorders>
              <w:top w:val="nil"/>
              <w:left w:val="nil"/>
              <w:bottom w:val="single" w:sz="8" w:space="0" w:color="0070C0"/>
              <w:right w:val="nil"/>
            </w:tcBorders>
            <w:shd w:val="clear" w:color="auto" w:fill="auto"/>
            <w:noWrap/>
            <w:vAlign w:val="center"/>
            <w:hideMark/>
          </w:tcPr>
          <w:p w14:paraId="2F627112"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0</w:t>
            </w:r>
          </w:p>
        </w:tc>
        <w:tc>
          <w:tcPr>
            <w:tcW w:w="812" w:type="dxa"/>
            <w:tcBorders>
              <w:top w:val="nil"/>
              <w:left w:val="single" w:sz="8" w:space="0" w:color="0070C0"/>
              <w:bottom w:val="single" w:sz="8" w:space="0" w:color="0070C0"/>
              <w:right w:val="single" w:sz="8" w:space="0" w:color="0070C0"/>
            </w:tcBorders>
            <w:shd w:val="clear" w:color="auto" w:fill="auto"/>
            <w:noWrap/>
            <w:vAlign w:val="center"/>
            <w:hideMark/>
          </w:tcPr>
          <w:p w14:paraId="6E987D94"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FF0000"/>
                <w:sz w:val="16"/>
                <w:szCs w:val="16"/>
                <w:lang w:eastAsia="en-GB"/>
              </w:rPr>
              <w:t>(4,872)</w:t>
            </w:r>
          </w:p>
        </w:tc>
        <w:tc>
          <w:tcPr>
            <w:tcW w:w="1055" w:type="dxa"/>
            <w:tcBorders>
              <w:top w:val="nil"/>
              <w:left w:val="nil"/>
              <w:bottom w:val="nil"/>
              <w:right w:val="nil"/>
            </w:tcBorders>
            <w:shd w:val="clear" w:color="auto" w:fill="auto"/>
            <w:noWrap/>
            <w:vAlign w:val="bottom"/>
            <w:hideMark/>
          </w:tcPr>
          <w:p w14:paraId="6B167FE3"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p>
        </w:tc>
        <w:tc>
          <w:tcPr>
            <w:tcW w:w="835" w:type="dxa"/>
            <w:tcBorders>
              <w:top w:val="nil"/>
              <w:left w:val="nil"/>
              <w:bottom w:val="nil"/>
              <w:right w:val="nil"/>
            </w:tcBorders>
            <w:shd w:val="clear" w:color="auto" w:fill="auto"/>
            <w:noWrap/>
            <w:vAlign w:val="bottom"/>
            <w:hideMark/>
          </w:tcPr>
          <w:p w14:paraId="593521AC"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c>
          <w:tcPr>
            <w:tcW w:w="807" w:type="dxa"/>
            <w:tcBorders>
              <w:top w:val="nil"/>
              <w:left w:val="nil"/>
              <w:bottom w:val="nil"/>
              <w:right w:val="nil"/>
            </w:tcBorders>
            <w:shd w:val="clear" w:color="auto" w:fill="auto"/>
            <w:noWrap/>
            <w:vAlign w:val="bottom"/>
            <w:hideMark/>
          </w:tcPr>
          <w:p w14:paraId="6659A736"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c>
          <w:tcPr>
            <w:tcW w:w="807" w:type="dxa"/>
            <w:tcBorders>
              <w:top w:val="nil"/>
              <w:left w:val="nil"/>
              <w:bottom w:val="nil"/>
              <w:right w:val="nil"/>
            </w:tcBorders>
            <w:shd w:val="clear" w:color="auto" w:fill="auto"/>
            <w:noWrap/>
            <w:vAlign w:val="bottom"/>
            <w:hideMark/>
          </w:tcPr>
          <w:p w14:paraId="1870B9C2"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r>
      <w:tr w:rsidR="005E72EC" w:rsidRPr="002C2316" w14:paraId="7B111B0F" w14:textId="77777777" w:rsidTr="004F0D35">
        <w:trPr>
          <w:trHeight w:val="228"/>
        </w:trPr>
        <w:tc>
          <w:tcPr>
            <w:tcW w:w="1499" w:type="dxa"/>
            <w:tcBorders>
              <w:top w:val="nil"/>
              <w:left w:val="nil"/>
              <w:bottom w:val="nil"/>
              <w:right w:val="nil"/>
            </w:tcBorders>
            <w:shd w:val="clear" w:color="auto" w:fill="auto"/>
            <w:noWrap/>
            <w:vAlign w:val="center"/>
            <w:hideMark/>
          </w:tcPr>
          <w:p w14:paraId="1B9880FD"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c>
          <w:tcPr>
            <w:tcW w:w="812" w:type="dxa"/>
            <w:tcBorders>
              <w:top w:val="nil"/>
              <w:left w:val="nil"/>
              <w:bottom w:val="nil"/>
              <w:right w:val="nil"/>
            </w:tcBorders>
            <w:shd w:val="clear" w:color="auto" w:fill="auto"/>
            <w:noWrap/>
            <w:vAlign w:val="center"/>
            <w:hideMark/>
          </w:tcPr>
          <w:p w14:paraId="4499312B" w14:textId="77777777" w:rsidR="005E72EC" w:rsidRPr="006C303A" w:rsidRDefault="005E72EC" w:rsidP="004F0D35">
            <w:pPr>
              <w:spacing w:after="0" w:line="240" w:lineRule="auto"/>
              <w:rPr>
                <w:rFonts w:ascii="Trebuchet MS" w:eastAsia="Times New Roman" w:hAnsi="Trebuchet MS" w:cs="Times New Roman"/>
                <w:b/>
                <w:bCs/>
                <w:sz w:val="16"/>
                <w:szCs w:val="16"/>
                <w:lang w:eastAsia="en-GB"/>
              </w:rPr>
            </w:pPr>
          </w:p>
        </w:tc>
        <w:tc>
          <w:tcPr>
            <w:tcW w:w="1055" w:type="dxa"/>
            <w:tcBorders>
              <w:top w:val="nil"/>
              <w:left w:val="nil"/>
              <w:bottom w:val="nil"/>
              <w:right w:val="nil"/>
            </w:tcBorders>
            <w:shd w:val="clear" w:color="auto" w:fill="auto"/>
            <w:noWrap/>
            <w:vAlign w:val="center"/>
            <w:hideMark/>
          </w:tcPr>
          <w:p w14:paraId="44000E7F" w14:textId="77777777" w:rsidR="005E72EC" w:rsidRPr="006C303A" w:rsidRDefault="005E72EC" w:rsidP="004F0D35">
            <w:pPr>
              <w:spacing w:after="0" w:line="240" w:lineRule="auto"/>
              <w:rPr>
                <w:rFonts w:ascii="Trebuchet MS" w:eastAsia="Times New Roman" w:hAnsi="Trebuchet MS" w:cs="Times New Roman"/>
                <w:b/>
                <w:bCs/>
                <w:sz w:val="16"/>
                <w:szCs w:val="16"/>
                <w:lang w:eastAsia="en-GB"/>
              </w:rPr>
            </w:pPr>
          </w:p>
        </w:tc>
        <w:tc>
          <w:tcPr>
            <w:tcW w:w="922" w:type="dxa"/>
            <w:tcBorders>
              <w:top w:val="nil"/>
              <w:left w:val="nil"/>
              <w:bottom w:val="nil"/>
              <w:right w:val="nil"/>
            </w:tcBorders>
            <w:shd w:val="clear" w:color="auto" w:fill="auto"/>
            <w:noWrap/>
            <w:vAlign w:val="center"/>
            <w:hideMark/>
          </w:tcPr>
          <w:p w14:paraId="5138E9BD" w14:textId="77777777" w:rsidR="005E72EC" w:rsidRPr="006C303A" w:rsidRDefault="005E72EC" w:rsidP="004F0D35">
            <w:pPr>
              <w:spacing w:after="0" w:line="240" w:lineRule="auto"/>
              <w:rPr>
                <w:rFonts w:ascii="Trebuchet MS" w:eastAsia="Times New Roman" w:hAnsi="Trebuchet MS" w:cs="Times New Roman"/>
                <w:b/>
                <w:bCs/>
                <w:sz w:val="16"/>
                <w:szCs w:val="16"/>
                <w:lang w:eastAsia="en-GB"/>
              </w:rPr>
            </w:pPr>
          </w:p>
        </w:tc>
        <w:tc>
          <w:tcPr>
            <w:tcW w:w="812" w:type="dxa"/>
            <w:tcBorders>
              <w:top w:val="nil"/>
              <w:left w:val="nil"/>
              <w:bottom w:val="nil"/>
              <w:right w:val="nil"/>
            </w:tcBorders>
            <w:shd w:val="clear" w:color="auto" w:fill="auto"/>
            <w:noWrap/>
            <w:vAlign w:val="center"/>
            <w:hideMark/>
          </w:tcPr>
          <w:p w14:paraId="0F6BDC11" w14:textId="77777777" w:rsidR="005E72EC" w:rsidRPr="006C303A" w:rsidRDefault="005E72EC" w:rsidP="004F0D35">
            <w:pPr>
              <w:spacing w:after="0" w:line="240" w:lineRule="auto"/>
              <w:rPr>
                <w:rFonts w:ascii="Trebuchet MS" w:eastAsia="Times New Roman" w:hAnsi="Trebuchet MS" w:cs="Times New Roman"/>
                <w:b/>
                <w:bCs/>
                <w:sz w:val="16"/>
                <w:szCs w:val="16"/>
                <w:lang w:eastAsia="en-GB"/>
              </w:rPr>
            </w:pPr>
          </w:p>
        </w:tc>
        <w:tc>
          <w:tcPr>
            <w:tcW w:w="807" w:type="dxa"/>
            <w:tcBorders>
              <w:top w:val="nil"/>
              <w:left w:val="nil"/>
              <w:bottom w:val="nil"/>
              <w:right w:val="nil"/>
            </w:tcBorders>
            <w:shd w:val="clear" w:color="auto" w:fill="auto"/>
            <w:noWrap/>
            <w:vAlign w:val="center"/>
            <w:hideMark/>
          </w:tcPr>
          <w:p w14:paraId="37E63AF0" w14:textId="77777777" w:rsidR="005E72EC" w:rsidRPr="006C303A" w:rsidRDefault="005E72EC" w:rsidP="004F0D35">
            <w:pPr>
              <w:spacing w:after="0" w:line="240" w:lineRule="auto"/>
              <w:rPr>
                <w:rFonts w:ascii="Trebuchet MS" w:eastAsia="Times New Roman" w:hAnsi="Trebuchet MS" w:cs="Times New Roman"/>
                <w:b/>
                <w:bCs/>
                <w:sz w:val="16"/>
                <w:szCs w:val="16"/>
                <w:lang w:eastAsia="en-GB"/>
              </w:rPr>
            </w:pPr>
          </w:p>
        </w:tc>
        <w:tc>
          <w:tcPr>
            <w:tcW w:w="812" w:type="dxa"/>
            <w:tcBorders>
              <w:top w:val="nil"/>
              <w:left w:val="nil"/>
              <w:bottom w:val="nil"/>
              <w:right w:val="nil"/>
            </w:tcBorders>
            <w:shd w:val="clear" w:color="auto" w:fill="auto"/>
            <w:noWrap/>
            <w:vAlign w:val="center"/>
            <w:hideMark/>
          </w:tcPr>
          <w:p w14:paraId="166FDCF6" w14:textId="77777777" w:rsidR="005E72EC" w:rsidRPr="006C303A" w:rsidRDefault="005E72EC" w:rsidP="004F0D35">
            <w:pPr>
              <w:spacing w:after="0" w:line="240" w:lineRule="auto"/>
              <w:rPr>
                <w:rFonts w:ascii="Trebuchet MS" w:eastAsia="Times New Roman" w:hAnsi="Trebuchet MS" w:cs="Times New Roman"/>
                <w:b/>
                <w:bCs/>
                <w:sz w:val="16"/>
                <w:szCs w:val="16"/>
                <w:lang w:eastAsia="en-GB"/>
              </w:rPr>
            </w:pPr>
          </w:p>
        </w:tc>
        <w:tc>
          <w:tcPr>
            <w:tcW w:w="1055" w:type="dxa"/>
            <w:tcBorders>
              <w:top w:val="nil"/>
              <w:left w:val="nil"/>
              <w:bottom w:val="nil"/>
              <w:right w:val="nil"/>
            </w:tcBorders>
            <w:shd w:val="clear" w:color="auto" w:fill="auto"/>
            <w:noWrap/>
            <w:vAlign w:val="center"/>
            <w:hideMark/>
          </w:tcPr>
          <w:p w14:paraId="5C7C7FB0"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c>
          <w:tcPr>
            <w:tcW w:w="835" w:type="dxa"/>
            <w:tcBorders>
              <w:top w:val="nil"/>
              <w:left w:val="nil"/>
              <w:bottom w:val="nil"/>
              <w:right w:val="nil"/>
            </w:tcBorders>
            <w:shd w:val="clear" w:color="auto" w:fill="auto"/>
            <w:noWrap/>
            <w:vAlign w:val="center"/>
            <w:hideMark/>
          </w:tcPr>
          <w:p w14:paraId="2F3B773A"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c>
          <w:tcPr>
            <w:tcW w:w="807" w:type="dxa"/>
            <w:tcBorders>
              <w:top w:val="nil"/>
              <w:left w:val="nil"/>
              <w:bottom w:val="nil"/>
              <w:right w:val="nil"/>
            </w:tcBorders>
            <w:shd w:val="clear" w:color="auto" w:fill="auto"/>
            <w:noWrap/>
            <w:vAlign w:val="center"/>
            <w:hideMark/>
          </w:tcPr>
          <w:p w14:paraId="1759C251"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c>
          <w:tcPr>
            <w:tcW w:w="807" w:type="dxa"/>
            <w:tcBorders>
              <w:top w:val="nil"/>
              <w:left w:val="nil"/>
              <w:bottom w:val="nil"/>
              <w:right w:val="nil"/>
            </w:tcBorders>
            <w:shd w:val="clear" w:color="auto" w:fill="auto"/>
            <w:noWrap/>
            <w:vAlign w:val="center"/>
            <w:hideMark/>
          </w:tcPr>
          <w:p w14:paraId="69805386"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r>
      <w:tr w:rsidR="005E72EC" w:rsidRPr="002C2316" w14:paraId="578DF7AA" w14:textId="77777777" w:rsidTr="004F0D35">
        <w:trPr>
          <w:trHeight w:val="238"/>
        </w:trPr>
        <w:tc>
          <w:tcPr>
            <w:tcW w:w="1499" w:type="dxa"/>
            <w:tcBorders>
              <w:top w:val="nil"/>
              <w:left w:val="nil"/>
              <w:bottom w:val="nil"/>
              <w:right w:val="nil"/>
            </w:tcBorders>
            <w:shd w:val="clear" w:color="auto" w:fill="auto"/>
            <w:noWrap/>
            <w:vAlign w:val="bottom"/>
            <w:hideMark/>
          </w:tcPr>
          <w:p w14:paraId="33579A65"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c>
          <w:tcPr>
            <w:tcW w:w="3601" w:type="dxa"/>
            <w:gridSpan w:val="4"/>
            <w:tcBorders>
              <w:top w:val="single" w:sz="8" w:space="0" w:color="0070C0"/>
              <w:left w:val="single" w:sz="8" w:space="0" w:color="0070C0"/>
              <w:bottom w:val="single" w:sz="8" w:space="0" w:color="0070C0"/>
              <w:right w:val="nil"/>
            </w:tcBorders>
            <w:shd w:val="clear" w:color="auto" w:fill="auto"/>
            <w:noWrap/>
            <w:vAlign w:val="center"/>
            <w:hideMark/>
          </w:tcPr>
          <w:p w14:paraId="42CAE3F7" w14:textId="77777777" w:rsidR="005E72EC" w:rsidRPr="006C303A" w:rsidRDefault="005E72EC" w:rsidP="004F0D35">
            <w:pPr>
              <w:spacing w:after="0" w:line="240" w:lineRule="auto"/>
              <w:jc w:val="center"/>
              <w:rPr>
                <w:rFonts w:ascii="Trebuchet MS" w:eastAsia="Times New Roman" w:hAnsi="Trebuchet MS" w:cs="Arial"/>
                <w:b/>
                <w:bCs/>
                <w:color w:val="0070C0"/>
                <w:sz w:val="16"/>
                <w:szCs w:val="16"/>
                <w:lang w:eastAsia="en-GB"/>
              </w:rPr>
            </w:pPr>
            <w:r w:rsidRPr="006C303A">
              <w:rPr>
                <w:rFonts w:ascii="Trebuchet MS" w:eastAsia="Times New Roman" w:hAnsi="Trebuchet MS" w:cs="Arial"/>
                <w:b/>
                <w:bCs/>
                <w:color w:val="0070C0"/>
                <w:sz w:val="16"/>
                <w:szCs w:val="16"/>
                <w:lang w:eastAsia="en-GB"/>
              </w:rPr>
              <w:t>Before Scheme</w:t>
            </w:r>
          </w:p>
        </w:tc>
        <w:tc>
          <w:tcPr>
            <w:tcW w:w="807" w:type="dxa"/>
            <w:tcBorders>
              <w:top w:val="single" w:sz="8" w:space="0" w:color="0070C0"/>
              <w:left w:val="nil"/>
              <w:bottom w:val="single" w:sz="8" w:space="0" w:color="0070C0"/>
              <w:right w:val="single" w:sz="8" w:space="0" w:color="0070C0"/>
            </w:tcBorders>
            <w:shd w:val="clear" w:color="auto" w:fill="auto"/>
            <w:noWrap/>
            <w:vAlign w:val="center"/>
            <w:hideMark/>
          </w:tcPr>
          <w:p w14:paraId="7C985B4F" w14:textId="77777777" w:rsidR="005E72EC" w:rsidRPr="006C303A" w:rsidRDefault="005E72EC" w:rsidP="004F0D35">
            <w:pPr>
              <w:spacing w:after="0" w:line="240" w:lineRule="auto"/>
              <w:jc w:val="center"/>
              <w:rPr>
                <w:rFonts w:ascii="Trebuchet MS" w:eastAsia="Times New Roman" w:hAnsi="Trebuchet MS" w:cs="Arial"/>
                <w:b/>
                <w:bCs/>
                <w:color w:val="0070C0"/>
                <w:sz w:val="16"/>
                <w:szCs w:val="16"/>
                <w:lang w:eastAsia="en-GB"/>
              </w:rPr>
            </w:pPr>
            <w:r w:rsidRPr="006C303A">
              <w:rPr>
                <w:rFonts w:ascii="Trebuchet MS" w:eastAsia="Times New Roman" w:hAnsi="Trebuchet MS" w:cs="Arial"/>
                <w:b/>
                <w:bCs/>
                <w:color w:val="0070C0"/>
                <w:sz w:val="16"/>
                <w:szCs w:val="16"/>
                <w:lang w:eastAsia="en-GB"/>
              </w:rPr>
              <w:t> </w:t>
            </w:r>
          </w:p>
        </w:tc>
        <w:tc>
          <w:tcPr>
            <w:tcW w:w="4316" w:type="dxa"/>
            <w:gridSpan w:val="5"/>
            <w:tcBorders>
              <w:top w:val="single" w:sz="8" w:space="0" w:color="0070C0"/>
              <w:left w:val="nil"/>
              <w:bottom w:val="single" w:sz="8" w:space="0" w:color="0070C0"/>
              <w:right w:val="single" w:sz="8" w:space="0" w:color="0070C0"/>
            </w:tcBorders>
            <w:shd w:val="clear" w:color="auto" w:fill="auto"/>
            <w:noWrap/>
            <w:vAlign w:val="center"/>
            <w:hideMark/>
          </w:tcPr>
          <w:p w14:paraId="7BF3EB11" w14:textId="77777777" w:rsidR="005E72EC" w:rsidRPr="006C303A" w:rsidRDefault="005E72EC" w:rsidP="004F0D35">
            <w:pPr>
              <w:spacing w:after="0" w:line="240" w:lineRule="auto"/>
              <w:jc w:val="center"/>
              <w:rPr>
                <w:rFonts w:ascii="Trebuchet MS" w:eastAsia="Times New Roman" w:hAnsi="Trebuchet MS" w:cs="Arial"/>
                <w:b/>
                <w:bCs/>
                <w:color w:val="0070C0"/>
                <w:sz w:val="16"/>
                <w:szCs w:val="16"/>
                <w:lang w:eastAsia="en-GB"/>
              </w:rPr>
            </w:pPr>
            <w:r w:rsidRPr="006C303A">
              <w:rPr>
                <w:rFonts w:ascii="Trebuchet MS" w:eastAsia="Times New Roman" w:hAnsi="Trebuchet MS" w:cs="Arial"/>
                <w:b/>
                <w:bCs/>
                <w:color w:val="0070C0"/>
                <w:sz w:val="16"/>
                <w:szCs w:val="16"/>
                <w:lang w:eastAsia="en-GB"/>
              </w:rPr>
              <w:t>After Scheme</w:t>
            </w:r>
          </w:p>
        </w:tc>
      </w:tr>
      <w:tr w:rsidR="005E72EC" w:rsidRPr="002C2316" w14:paraId="32A530B3" w14:textId="77777777" w:rsidTr="004F0D35">
        <w:trPr>
          <w:trHeight w:val="257"/>
        </w:trPr>
        <w:tc>
          <w:tcPr>
            <w:tcW w:w="1499" w:type="dxa"/>
            <w:tcBorders>
              <w:top w:val="nil"/>
              <w:left w:val="nil"/>
              <w:bottom w:val="nil"/>
              <w:right w:val="nil"/>
            </w:tcBorders>
            <w:shd w:val="clear" w:color="auto" w:fill="auto"/>
            <w:noWrap/>
            <w:vAlign w:val="center"/>
            <w:hideMark/>
          </w:tcPr>
          <w:p w14:paraId="7C6324C6" w14:textId="77777777" w:rsidR="005E72EC" w:rsidRPr="002C2316" w:rsidRDefault="005E72EC" w:rsidP="004F0D35">
            <w:pPr>
              <w:spacing w:after="0" w:line="240" w:lineRule="auto"/>
              <w:jc w:val="center"/>
              <w:rPr>
                <w:rFonts w:ascii="Trebuchet MS" w:eastAsia="Times New Roman" w:hAnsi="Trebuchet MS" w:cs="Times New Roman"/>
                <w:b/>
                <w:bCs/>
                <w:color w:val="000000"/>
                <w:sz w:val="16"/>
                <w:szCs w:val="16"/>
                <w:lang w:eastAsia="en-GB"/>
              </w:rPr>
            </w:pPr>
            <w:r w:rsidRPr="002C2316">
              <w:rPr>
                <w:rFonts w:ascii="Trebuchet MS" w:eastAsia="Times New Roman" w:hAnsi="Trebuchet MS" w:cs="Times New Roman"/>
                <w:b/>
                <w:bCs/>
                <w:color w:val="000000"/>
                <w:sz w:val="16"/>
                <w:szCs w:val="16"/>
                <w:lang w:eastAsia="en-GB"/>
              </w:rPr>
              <w:t>LGI</w:t>
            </w:r>
          </w:p>
        </w:tc>
        <w:tc>
          <w:tcPr>
            <w:tcW w:w="812" w:type="dxa"/>
            <w:tcBorders>
              <w:top w:val="nil"/>
              <w:left w:val="single" w:sz="8" w:space="0" w:color="0070C0"/>
              <w:bottom w:val="single" w:sz="8" w:space="0" w:color="0070C0"/>
              <w:right w:val="nil"/>
            </w:tcBorders>
            <w:shd w:val="clear" w:color="auto" w:fill="auto"/>
            <w:noWrap/>
            <w:vAlign w:val="center"/>
            <w:hideMark/>
          </w:tcPr>
          <w:p w14:paraId="0286AEFA" w14:textId="77777777" w:rsidR="005E72EC" w:rsidRPr="002C2316" w:rsidRDefault="005E72EC" w:rsidP="004F0D35">
            <w:pPr>
              <w:spacing w:after="0" w:line="240" w:lineRule="auto"/>
              <w:jc w:val="right"/>
              <w:rPr>
                <w:rFonts w:ascii="Trebuchet MS" w:eastAsia="Times New Roman" w:hAnsi="Trebuchet MS" w:cs="Arial"/>
                <w:color w:val="0070C0"/>
                <w:sz w:val="16"/>
                <w:szCs w:val="16"/>
                <w:lang w:eastAsia="en-GB"/>
              </w:rPr>
            </w:pPr>
            <w:r w:rsidRPr="002C2316">
              <w:rPr>
                <w:rFonts w:ascii="Trebuchet MS" w:eastAsia="Times New Roman" w:hAnsi="Trebuchet MS" w:cs="Arial"/>
                <w:color w:val="0070C0"/>
                <w:sz w:val="16"/>
                <w:szCs w:val="16"/>
                <w:lang w:eastAsia="en-GB"/>
              </w:rPr>
              <w:t>UK</w:t>
            </w:r>
          </w:p>
        </w:tc>
        <w:tc>
          <w:tcPr>
            <w:tcW w:w="1055" w:type="dxa"/>
            <w:tcBorders>
              <w:top w:val="nil"/>
              <w:left w:val="nil"/>
              <w:bottom w:val="single" w:sz="8" w:space="0" w:color="0070C0"/>
              <w:right w:val="nil"/>
            </w:tcBorders>
            <w:shd w:val="clear" w:color="auto" w:fill="auto"/>
            <w:noWrap/>
            <w:vAlign w:val="center"/>
            <w:hideMark/>
          </w:tcPr>
          <w:p w14:paraId="03F367CB" w14:textId="77777777" w:rsidR="005E72EC" w:rsidRPr="002C2316" w:rsidRDefault="005E72EC" w:rsidP="004F0D35">
            <w:pPr>
              <w:spacing w:after="0" w:line="240" w:lineRule="auto"/>
              <w:jc w:val="right"/>
              <w:rPr>
                <w:rFonts w:ascii="Trebuchet MS" w:eastAsia="Times New Roman" w:hAnsi="Trebuchet MS" w:cs="Arial"/>
                <w:color w:val="0070C0"/>
                <w:sz w:val="16"/>
                <w:szCs w:val="16"/>
                <w:lang w:eastAsia="en-GB"/>
              </w:rPr>
            </w:pPr>
            <w:r w:rsidRPr="002C2316">
              <w:rPr>
                <w:rFonts w:ascii="Trebuchet MS" w:eastAsia="Times New Roman" w:hAnsi="Trebuchet MS" w:cs="Arial"/>
                <w:color w:val="0070C0"/>
                <w:sz w:val="16"/>
                <w:szCs w:val="16"/>
                <w:lang w:eastAsia="en-GB"/>
              </w:rPr>
              <w:t>Switzerland</w:t>
            </w:r>
          </w:p>
        </w:tc>
        <w:tc>
          <w:tcPr>
            <w:tcW w:w="922" w:type="dxa"/>
            <w:tcBorders>
              <w:top w:val="nil"/>
              <w:left w:val="nil"/>
              <w:bottom w:val="single" w:sz="8" w:space="0" w:color="0070C0"/>
              <w:right w:val="nil"/>
            </w:tcBorders>
            <w:shd w:val="clear" w:color="auto" w:fill="auto"/>
            <w:noWrap/>
            <w:vAlign w:val="center"/>
            <w:hideMark/>
          </w:tcPr>
          <w:p w14:paraId="2BE1885A" w14:textId="77777777" w:rsidR="005E72EC" w:rsidRPr="002C2316" w:rsidRDefault="005E72EC" w:rsidP="004F0D35">
            <w:pPr>
              <w:spacing w:after="0" w:line="240" w:lineRule="auto"/>
              <w:jc w:val="right"/>
              <w:rPr>
                <w:rFonts w:ascii="Trebuchet MS" w:eastAsia="Times New Roman" w:hAnsi="Trebuchet MS" w:cs="Arial"/>
                <w:color w:val="0070C0"/>
                <w:sz w:val="16"/>
                <w:szCs w:val="16"/>
                <w:lang w:eastAsia="en-GB"/>
              </w:rPr>
            </w:pPr>
            <w:r w:rsidRPr="002C2316">
              <w:rPr>
                <w:rFonts w:ascii="Trebuchet MS" w:eastAsia="Times New Roman" w:hAnsi="Trebuchet MS" w:cs="Arial"/>
                <w:color w:val="0070C0"/>
                <w:sz w:val="16"/>
                <w:szCs w:val="16"/>
                <w:lang w:eastAsia="en-GB"/>
              </w:rPr>
              <w:t>South Africa</w:t>
            </w:r>
          </w:p>
        </w:tc>
        <w:tc>
          <w:tcPr>
            <w:tcW w:w="812" w:type="dxa"/>
            <w:tcBorders>
              <w:top w:val="nil"/>
              <w:left w:val="nil"/>
              <w:bottom w:val="single" w:sz="8" w:space="0" w:color="0070C0"/>
              <w:right w:val="nil"/>
            </w:tcBorders>
            <w:shd w:val="clear" w:color="auto" w:fill="auto"/>
            <w:noWrap/>
            <w:vAlign w:val="center"/>
            <w:hideMark/>
          </w:tcPr>
          <w:p w14:paraId="0638B89C" w14:textId="77777777" w:rsidR="005E72EC" w:rsidRPr="002C2316" w:rsidRDefault="005E72EC" w:rsidP="004F0D35">
            <w:pPr>
              <w:spacing w:after="0" w:line="240" w:lineRule="auto"/>
              <w:jc w:val="right"/>
              <w:rPr>
                <w:rFonts w:ascii="Trebuchet MS" w:eastAsia="Times New Roman" w:hAnsi="Trebuchet MS" w:cs="Arial"/>
                <w:color w:val="0070C0"/>
                <w:sz w:val="16"/>
                <w:szCs w:val="16"/>
                <w:lang w:eastAsia="en-GB"/>
              </w:rPr>
            </w:pPr>
            <w:r w:rsidRPr="002C2316">
              <w:rPr>
                <w:rFonts w:ascii="Trebuchet MS" w:eastAsia="Times New Roman" w:hAnsi="Trebuchet MS" w:cs="Arial"/>
                <w:color w:val="0070C0"/>
                <w:sz w:val="16"/>
                <w:szCs w:val="16"/>
                <w:lang w:eastAsia="en-GB"/>
              </w:rPr>
              <w:t>EU</w:t>
            </w:r>
          </w:p>
        </w:tc>
        <w:tc>
          <w:tcPr>
            <w:tcW w:w="807" w:type="dxa"/>
            <w:tcBorders>
              <w:top w:val="nil"/>
              <w:left w:val="single" w:sz="8" w:space="0" w:color="0070C0"/>
              <w:bottom w:val="single" w:sz="8" w:space="0" w:color="0070C0"/>
              <w:right w:val="single" w:sz="8" w:space="0" w:color="0070C0"/>
            </w:tcBorders>
            <w:shd w:val="clear" w:color="auto" w:fill="auto"/>
            <w:noWrap/>
            <w:vAlign w:val="center"/>
            <w:hideMark/>
          </w:tcPr>
          <w:p w14:paraId="490EEDAF" w14:textId="77777777" w:rsidR="005E72EC" w:rsidRPr="002C2316" w:rsidRDefault="005E72EC" w:rsidP="004F0D35">
            <w:pPr>
              <w:spacing w:after="0" w:line="240" w:lineRule="auto"/>
              <w:jc w:val="right"/>
              <w:rPr>
                <w:rFonts w:ascii="Trebuchet MS" w:eastAsia="Times New Roman" w:hAnsi="Trebuchet MS" w:cs="Arial"/>
                <w:color w:val="0070C0"/>
                <w:sz w:val="16"/>
                <w:szCs w:val="16"/>
                <w:lang w:eastAsia="en-GB"/>
              </w:rPr>
            </w:pPr>
            <w:r w:rsidRPr="002C2316">
              <w:rPr>
                <w:rFonts w:ascii="Trebuchet MS" w:eastAsia="Times New Roman" w:hAnsi="Trebuchet MS" w:cs="Arial"/>
                <w:color w:val="0070C0"/>
                <w:sz w:val="16"/>
                <w:szCs w:val="16"/>
                <w:lang w:eastAsia="en-GB"/>
              </w:rPr>
              <w:t>Total</w:t>
            </w:r>
          </w:p>
        </w:tc>
        <w:tc>
          <w:tcPr>
            <w:tcW w:w="812" w:type="dxa"/>
            <w:tcBorders>
              <w:top w:val="nil"/>
              <w:left w:val="nil"/>
              <w:bottom w:val="single" w:sz="8" w:space="0" w:color="0070C0"/>
              <w:right w:val="nil"/>
            </w:tcBorders>
            <w:shd w:val="clear" w:color="auto" w:fill="auto"/>
            <w:noWrap/>
            <w:vAlign w:val="center"/>
            <w:hideMark/>
          </w:tcPr>
          <w:p w14:paraId="5CC12CD3" w14:textId="77777777" w:rsidR="005E72EC" w:rsidRPr="002C2316" w:rsidRDefault="005E72EC" w:rsidP="004F0D35">
            <w:pPr>
              <w:spacing w:after="0" w:line="240" w:lineRule="auto"/>
              <w:jc w:val="right"/>
              <w:rPr>
                <w:rFonts w:ascii="Trebuchet MS" w:eastAsia="Times New Roman" w:hAnsi="Trebuchet MS" w:cs="Arial"/>
                <w:color w:val="0070C0"/>
                <w:sz w:val="16"/>
                <w:szCs w:val="16"/>
                <w:lang w:eastAsia="en-GB"/>
              </w:rPr>
            </w:pPr>
            <w:r w:rsidRPr="002C2316">
              <w:rPr>
                <w:rFonts w:ascii="Trebuchet MS" w:eastAsia="Times New Roman" w:hAnsi="Trebuchet MS" w:cs="Arial"/>
                <w:color w:val="0070C0"/>
                <w:sz w:val="16"/>
                <w:szCs w:val="16"/>
                <w:lang w:eastAsia="en-GB"/>
              </w:rPr>
              <w:t>UK</w:t>
            </w:r>
          </w:p>
        </w:tc>
        <w:tc>
          <w:tcPr>
            <w:tcW w:w="1055" w:type="dxa"/>
            <w:tcBorders>
              <w:top w:val="nil"/>
              <w:left w:val="nil"/>
              <w:bottom w:val="single" w:sz="8" w:space="0" w:color="0070C0"/>
              <w:right w:val="nil"/>
            </w:tcBorders>
            <w:shd w:val="clear" w:color="auto" w:fill="auto"/>
            <w:noWrap/>
            <w:vAlign w:val="center"/>
            <w:hideMark/>
          </w:tcPr>
          <w:p w14:paraId="79E17F81" w14:textId="77777777" w:rsidR="005E72EC" w:rsidRPr="002C2316" w:rsidRDefault="005E72EC" w:rsidP="004F0D35">
            <w:pPr>
              <w:spacing w:after="0" w:line="240" w:lineRule="auto"/>
              <w:jc w:val="right"/>
              <w:rPr>
                <w:rFonts w:ascii="Trebuchet MS" w:eastAsia="Times New Roman" w:hAnsi="Trebuchet MS" w:cs="Arial"/>
                <w:color w:val="0070C0"/>
                <w:sz w:val="16"/>
                <w:szCs w:val="16"/>
                <w:lang w:eastAsia="en-GB"/>
              </w:rPr>
            </w:pPr>
            <w:r w:rsidRPr="002C2316">
              <w:rPr>
                <w:rFonts w:ascii="Trebuchet MS" w:eastAsia="Times New Roman" w:hAnsi="Trebuchet MS" w:cs="Arial"/>
                <w:color w:val="0070C0"/>
                <w:sz w:val="16"/>
                <w:szCs w:val="16"/>
                <w:lang w:eastAsia="en-GB"/>
              </w:rPr>
              <w:t>Switzerland</w:t>
            </w:r>
          </w:p>
        </w:tc>
        <w:tc>
          <w:tcPr>
            <w:tcW w:w="835" w:type="dxa"/>
            <w:tcBorders>
              <w:top w:val="nil"/>
              <w:left w:val="nil"/>
              <w:bottom w:val="single" w:sz="8" w:space="0" w:color="0070C0"/>
              <w:right w:val="nil"/>
            </w:tcBorders>
            <w:shd w:val="clear" w:color="auto" w:fill="auto"/>
            <w:noWrap/>
            <w:vAlign w:val="center"/>
            <w:hideMark/>
          </w:tcPr>
          <w:p w14:paraId="5AE5646F" w14:textId="77777777" w:rsidR="005E72EC" w:rsidRPr="002C2316" w:rsidRDefault="005E72EC" w:rsidP="004F0D35">
            <w:pPr>
              <w:spacing w:after="0" w:line="240" w:lineRule="auto"/>
              <w:jc w:val="right"/>
              <w:rPr>
                <w:rFonts w:ascii="Trebuchet MS" w:eastAsia="Times New Roman" w:hAnsi="Trebuchet MS" w:cs="Arial"/>
                <w:color w:val="0070C0"/>
                <w:sz w:val="16"/>
                <w:szCs w:val="16"/>
                <w:lang w:eastAsia="en-GB"/>
              </w:rPr>
            </w:pPr>
            <w:r w:rsidRPr="002C2316">
              <w:rPr>
                <w:rFonts w:ascii="Trebuchet MS" w:eastAsia="Times New Roman" w:hAnsi="Trebuchet MS" w:cs="Arial"/>
                <w:color w:val="0070C0"/>
                <w:sz w:val="16"/>
                <w:szCs w:val="16"/>
                <w:lang w:eastAsia="en-GB"/>
              </w:rPr>
              <w:t>South Africa</w:t>
            </w:r>
          </w:p>
        </w:tc>
        <w:tc>
          <w:tcPr>
            <w:tcW w:w="807" w:type="dxa"/>
            <w:tcBorders>
              <w:top w:val="nil"/>
              <w:left w:val="nil"/>
              <w:bottom w:val="single" w:sz="8" w:space="0" w:color="0070C0"/>
              <w:right w:val="nil"/>
            </w:tcBorders>
            <w:shd w:val="clear" w:color="auto" w:fill="auto"/>
            <w:noWrap/>
            <w:vAlign w:val="center"/>
            <w:hideMark/>
          </w:tcPr>
          <w:p w14:paraId="2D4AD7CF" w14:textId="77777777" w:rsidR="005E72EC" w:rsidRPr="002C2316" w:rsidRDefault="005E72EC" w:rsidP="004F0D35">
            <w:pPr>
              <w:spacing w:after="0" w:line="240" w:lineRule="auto"/>
              <w:jc w:val="right"/>
              <w:rPr>
                <w:rFonts w:ascii="Trebuchet MS" w:eastAsia="Times New Roman" w:hAnsi="Trebuchet MS" w:cs="Arial"/>
                <w:color w:val="0070C0"/>
                <w:sz w:val="16"/>
                <w:szCs w:val="16"/>
                <w:lang w:eastAsia="en-GB"/>
              </w:rPr>
            </w:pPr>
            <w:r w:rsidRPr="002C2316">
              <w:rPr>
                <w:rFonts w:ascii="Trebuchet MS" w:eastAsia="Times New Roman" w:hAnsi="Trebuchet MS" w:cs="Arial"/>
                <w:color w:val="0070C0"/>
                <w:sz w:val="16"/>
                <w:szCs w:val="16"/>
                <w:lang w:eastAsia="en-GB"/>
              </w:rPr>
              <w:t>EU</w:t>
            </w:r>
          </w:p>
        </w:tc>
        <w:tc>
          <w:tcPr>
            <w:tcW w:w="807" w:type="dxa"/>
            <w:tcBorders>
              <w:top w:val="nil"/>
              <w:left w:val="single" w:sz="8" w:space="0" w:color="0070C0"/>
              <w:bottom w:val="single" w:sz="8" w:space="0" w:color="0070C0"/>
              <w:right w:val="single" w:sz="8" w:space="0" w:color="0070C0"/>
            </w:tcBorders>
            <w:shd w:val="clear" w:color="auto" w:fill="auto"/>
            <w:noWrap/>
            <w:vAlign w:val="center"/>
            <w:hideMark/>
          </w:tcPr>
          <w:p w14:paraId="2B45DFBD" w14:textId="77777777" w:rsidR="005E72EC" w:rsidRPr="002C2316" w:rsidRDefault="005E72EC" w:rsidP="004F0D35">
            <w:pPr>
              <w:spacing w:after="0" w:line="240" w:lineRule="auto"/>
              <w:jc w:val="right"/>
              <w:rPr>
                <w:rFonts w:ascii="Trebuchet MS" w:eastAsia="Times New Roman" w:hAnsi="Trebuchet MS" w:cs="Arial"/>
                <w:color w:val="0070C0"/>
                <w:sz w:val="16"/>
                <w:szCs w:val="16"/>
                <w:lang w:eastAsia="en-GB"/>
              </w:rPr>
            </w:pPr>
            <w:r w:rsidRPr="002C2316">
              <w:rPr>
                <w:rFonts w:ascii="Trebuchet MS" w:eastAsia="Times New Roman" w:hAnsi="Trebuchet MS" w:cs="Arial"/>
                <w:color w:val="0070C0"/>
                <w:sz w:val="16"/>
                <w:szCs w:val="16"/>
                <w:lang w:eastAsia="en-GB"/>
              </w:rPr>
              <w:t>Total</w:t>
            </w:r>
          </w:p>
        </w:tc>
      </w:tr>
      <w:tr w:rsidR="005E72EC" w:rsidRPr="002C2316" w14:paraId="5C4DCAD4" w14:textId="77777777" w:rsidTr="004F0D35">
        <w:trPr>
          <w:trHeight w:val="238"/>
        </w:trPr>
        <w:tc>
          <w:tcPr>
            <w:tcW w:w="1499" w:type="dxa"/>
            <w:tcBorders>
              <w:top w:val="single" w:sz="8" w:space="0" w:color="0070C0"/>
              <w:left w:val="single" w:sz="8" w:space="0" w:color="0070C0"/>
              <w:bottom w:val="single" w:sz="8" w:space="0" w:color="0070C0"/>
              <w:right w:val="single" w:sz="8" w:space="0" w:color="0070C0"/>
            </w:tcBorders>
            <w:shd w:val="clear" w:color="auto" w:fill="auto"/>
            <w:noWrap/>
            <w:vAlign w:val="center"/>
            <w:hideMark/>
          </w:tcPr>
          <w:p w14:paraId="064A111B" w14:textId="77777777" w:rsidR="005E72EC" w:rsidRPr="002C2316" w:rsidRDefault="005E72EC" w:rsidP="004F0D35">
            <w:pPr>
              <w:spacing w:after="0" w:line="240" w:lineRule="auto"/>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Claims Provision</w:t>
            </w:r>
          </w:p>
        </w:tc>
        <w:tc>
          <w:tcPr>
            <w:tcW w:w="812" w:type="dxa"/>
            <w:tcBorders>
              <w:top w:val="nil"/>
              <w:left w:val="nil"/>
              <w:bottom w:val="single" w:sz="8" w:space="0" w:color="0070C0"/>
              <w:right w:val="nil"/>
            </w:tcBorders>
            <w:shd w:val="clear" w:color="auto" w:fill="auto"/>
            <w:noWrap/>
            <w:vAlign w:val="center"/>
            <w:hideMark/>
          </w:tcPr>
          <w:p w14:paraId="627EF69F"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1,805</w:t>
            </w:r>
          </w:p>
        </w:tc>
        <w:tc>
          <w:tcPr>
            <w:tcW w:w="1055" w:type="dxa"/>
            <w:tcBorders>
              <w:top w:val="nil"/>
              <w:left w:val="nil"/>
              <w:bottom w:val="single" w:sz="8" w:space="0" w:color="0070C0"/>
              <w:right w:val="nil"/>
            </w:tcBorders>
            <w:shd w:val="clear" w:color="auto" w:fill="auto"/>
            <w:noWrap/>
            <w:vAlign w:val="center"/>
            <w:hideMark/>
          </w:tcPr>
          <w:p w14:paraId="3BC82C58"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18</w:t>
            </w:r>
          </w:p>
        </w:tc>
        <w:tc>
          <w:tcPr>
            <w:tcW w:w="922" w:type="dxa"/>
            <w:tcBorders>
              <w:top w:val="nil"/>
              <w:left w:val="nil"/>
              <w:bottom w:val="single" w:sz="8" w:space="0" w:color="0070C0"/>
              <w:right w:val="nil"/>
            </w:tcBorders>
            <w:shd w:val="clear" w:color="auto" w:fill="auto"/>
            <w:noWrap/>
            <w:vAlign w:val="center"/>
            <w:hideMark/>
          </w:tcPr>
          <w:p w14:paraId="095A0C1B"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142</w:t>
            </w:r>
          </w:p>
        </w:tc>
        <w:tc>
          <w:tcPr>
            <w:tcW w:w="812" w:type="dxa"/>
            <w:tcBorders>
              <w:top w:val="nil"/>
              <w:left w:val="nil"/>
              <w:bottom w:val="single" w:sz="8" w:space="0" w:color="0070C0"/>
              <w:right w:val="nil"/>
            </w:tcBorders>
            <w:shd w:val="clear" w:color="auto" w:fill="auto"/>
            <w:noWrap/>
            <w:vAlign w:val="center"/>
            <w:hideMark/>
          </w:tcPr>
          <w:p w14:paraId="5E8F1D02"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29,036</w:t>
            </w:r>
          </w:p>
        </w:tc>
        <w:tc>
          <w:tcPr>
            <w:tcW w:w="807" w:type="dxa"/>
            <w:tcBorders>
              <w:top w:val="nil"/>
              <w:left w:val="single" w:sz="8" w:space="0" w:color="0070C0"/>
              <w:bottom w:val="single" w:sz="8" w:space="0" w:color="0070C0"/>
              <w:right w:val="single" w:sz="8" w:space="0" w:color="0070C0"/>
            </w:tcBorders>
            <w:shd w:val="clear" w:color="auto" w:fill="auto"/>
            <w:noWrap/>
            <w:vAlign w:val="center"/>
            <w:hideMark/>
          </w:tcPr>
          <w:p w14:paraId="3358AE38"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31,001</w:t>
            </w:r>
          </w:p>
        </w:tc>
        <w:tc>
          <w:tcPr>
            <w:tcW w:w="812" w:type="dxa"/>
            <w:tcBorders>
              <w:top w:val="nil"/>
              <w:left w:val="nil"/>
              <w:bottom w:val="single" w:sz="8" w:space="0" w:color="0070C0"/>
              <w:right w:val="nil"/>
            </w:tcBorders>
            <w:shd w:val="clear" w:color="auto" w:fill="auto"/>
            <w:noWrap/>
            <w:vAlign w:val="center"/>
            <w:hideMark/>
          </w:tcPr>
          <w:p w14:paraId="6C2061AC"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1,805</w:t>
            </w:r>
          </w:p>
        </w:tc>
        <w:tc>
          <w:tcPr>
            <w:tcW w:w="1055" w:type="dxa"/>
            <w:tcBorders>
              <w:top w:val="nil"/>
              <w:left w:val="nil"/>
              <w:bottom w:val="single" w:sz="8" w:space="0" w:color="0070C0"/>
              <w:right w:val="nil"/>
            </w:tcBorders>
            <w:shd w:val="clear" w:color="auto" w:fill="auto"/>
            <w:noWrap/>
            <w:vAlign w:val="center"/>
            <w:hideMark/>
          </w:tcPr>
          <w:p w14:paraId="315000B1"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18</w:t>
            </w:r>
          </w:p>
        </w:tc>
        <w:tc>
          <w:tcPr>
            <w:tcW w:w="835" w:type="dxa"/>
            <w:tcBorders>
              <w:top w:val="nil"/>
              <w:left w:val="nil"/>
              <w:bottom w:val="single" w:sz="8" w:space="0" w:color="0070C0"/>
              <w:right w:val="nil"/>
            </w:tcBorders>
            <w:shd w:val="clear" w:color="auto" w:fill="auto"/>
            <w:noWrap/>
            <w:vAlign w:val="center"/>
            <w:hideMark/>
          </w:tcPr>
          <w:p w14:paraId="65374DDB"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142</w:t>
            </w:r>
          </w:p>
        </w:tc>
        <w:tc>
          <w:tcPr>
            <w:tcW w:w="807" w:type="dxa"/>
            <w:tcBorders>
              <w:top w:val="nil"/>
              <w:left w:val="nil"/>
              <w:bottom w:val="single" w:sz="8" w:space="0" w:color="0070C0"/>
              <w:right w:val="nil"/>
            </w:tcBorders>
            <w:shd w:val="clear" w:color="auto" w:fill="auto"/>
            <w:noWrap/>
            <w:vAlign w:val="center"/>
            <w:hideMark/>
          </w:tcPr>
          <w:p w14:paraId="15B2B64F"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0</w:t>
            </w:r>
          </w:p>
        </w:tc>
        <w:tc>
          <w:tcPr>
            <w:tcW w:w="807" w:type="dxa"/>
            <w:tcBorders>
              <w:top w:val="nil"/>
              <w:left w:val="single" w:sz="8" w:space="0" w:color="0070C0"/>
              <w:bottom w:val="single" w:sz="8" w:space="0" w:color="0070C0"/>
              <w:right w:val="single" w:sz="8" w:space="0" w:color="0070C0"/>
            </w:tcBorders>
            <w:shd w:val="clear" w:color="auto" w:fill="auto"/>
            <w:noWrap/>
            <w:vAlign w:val="center"/>
            <w:hideMark/>
          </w:tcPr>
          <w:p w14:paraId="0408AFD2"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1,965</w:t>
            </w:r>
          </w:p>
        </w:tc>
      </w:tr>
      <w:tr w:rsidR="005E72EC" w:rsidRPr="002C2316" w14:paraId="315A02F9" w14:textId="77777777" w:rsidTr="004F0D35">
        <w:trPr>
          <w:trHeight w:val="238"/>
        </w:trPr>
        <w:tc>
          <w:tcPr>
            <w:tcW w:w="1499" w:type="dxa"/>
            <w:tcBorders>
              <w:top w:val="nil"/>
              <w:left w:val="single" w:sz="8" w:space="0" w:color="0070C0"/>
              <w:bottom w:val="single" w:sz="8" w:space="0" w:color="0070C0"/>
              <w:right w:val="single" w:sz="8" w:space="0" w:color="0070C0"/>
            </w:tcBorders>
            <w:shd w:val="clear" w:color="auto" w:fill="auto"/>
            <w:noWrap/>
            <w:vAlign w:val="center"/>
            <w:hideMark/>
          </w:tcPr>
          <w:p w14:paraId="2F6B020E" w14:textId="77777777" w:rsidR="005E72EC" w:rsidRPr="002C2316" w:rsidRDefault="005E72EC" w:rsidP="004F0D35">
            <w:pPr>
              <w:spacing w:after="0" w:line="240" w:lineRule="auto"/>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Premium Provision</w:t>
            </w:r>
          </w:p>
        </w:tc>
        <w:tc>
          <w:tcPr>
            <w:tcW w:w="812" w:type="dxa"/>
            <w:tcBorders>
              <w:top w:val="nil"/>
              <w:left w:val="nil"/>
              <w:bottom w:val="single" w:sz="8" w:space="0" w:color="0070C0"/>
              <w:right w:val="nil"/>
            </w:tcBorders>
            <w:shd w:val="clear" w:color="auto" w:fill="auto"/>
            <w:noWrap/>
            <w:vAlign w:val="center"/>
            <w:hideMark/>
          </w:tcPr>
          <w:p w14:paraId="373AA129"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29,275</w:t>
            </w:r>
          </w:p>
        </w:tc>
        <w:tc>
          <w:tcPr>
            <w:tcW w:w="1055" w:type="dxa"/>
            <w:tcBorders>
              <w:top w:val="nil"/>
              <w:left w:val="nil"/>
              <w:bottom w:val="single" w:sz="8" w:space="0" w:color="0070C0"/>
              <w:right w:val="nil"/>
            </w:tcBorders>
            <w:shd w:val="clear" w:color="auto" w:fill="auto"/>
            <w:noWrap/>
            <w:vAlign w:val="center"/>
            <w:hideMark/>
          </w:tcPr>
          <w:p w14:paraId="5F458612"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382</w:t>
            </w:r>
          </w:p>
        </w:tc>
        <w:tc>
          <w:tcPr>
            <w:tcW w:w="922" w:type="dxa"/>
            <w:tcBorders>
              <w:top w:val="nil"/>
              <w:left w:val="nil"/>
              <w:bottom w:val="single" w:sz="8" w:space="0" w:color="0070C0"/>
              <w:right w:val="nil"/>
            </w:tcBorders>
            <w:shd w:val="clear" w:color="auto" w:fill="auto"/>
            <w:noWrap/>
            <w:vAlign w:val="center"/>
            <w:hideMark/>
          </w:tcPr>
          <w:p w14:paraId="09355B20"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233</w:t>
            </w:r>
          </w:p>
        </w:tc>
        <w:tc>
          <w:tcPr>
            <w:tcW w:w="812" w:type="dxa"/>
            <w:tcBorders>
              <w:top w:val="nil"/>
              <w:left w:val="nil"/>
              <w:bottom w:val="single" w:sz="8" w:space="0" w:color="0070C0"/>
              <w:right w:val="nil"/>
            </w:tcBorders>
            <w:shd w:val="clear" w:color="auto" w:fill="auto"/>
            <w:noWrap/>
            <w:vAlign w:val="center"/>
            <w:hideMark/>
          </w:tcPr>
          <w:p w14:paraId="5EF59465"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35,214</w:t>
            </w:r>
          </w:p>
        </w:tc>
        <w:tc>
          <w:tcPr>
            <w:tcW w:w="807" w:type="dxa"/>
            <w:tcBorders>
              <w:top w:val="nil"/>
              <w:left w:val="single" w:sz="8" w:space="0" w:color="0070C0"/>
              <w:bottom w:val="single" w:sz="8" w:space="0" w:color="0070C0"/>
              <w:right w:val="single" w:sz="8" w:space="0" w:color="0070C0"/>
            </w:tcBorders>
            <w:shd w:val="clear" w:color="auto" w:fill="auto"/>
            <w:noWrap/>
            <w:vAlign w:val="center"/>
            <w:hideMark/>
          </w:tcPr>
          <w:p w14:paraId="0E4AC242"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65,104</w:t>
            </w:r>
          </w:p>
        </w:tc>
        <w:tc>
          <w:tcPr>
            <w:tcW w:w="812" w:type="dxa"/>
            <w:tcBorders>
              <w:top w:val="nil"/>
              <w:left w:val="nil"/>
              <w:bottom w:val="single" w:sz="8" w:space="0" w:color="0070C0"/>
              <w:right w:val="nil"/>
            </w:tcBorders>
            <w:shd w:val="clear" w:color="auto" w:fill="auto"/>
            <w:noWrap/>
            <w:vAlign w:val="center"/>
            <w:hideMark/>
          </w:tcPr>
          <w:p w14:paraId="650B101A"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29,275</w:t>
            </w:r>
          </w:p>
        </w:tc>
        <w:tc>
          <w:tcPr>
            <w:tcW w:w="1055" w:type="dxa"/>
            <w:tcBorders>
              <w:top w:val="nil"/>
              <w:left w:val="nil"/>
              <w:bottom w:val="single" w:sz="8" w:space="0" w:color="0070C0"/>
              <w:right w:val="nil"/>
            </w:tcBorders>
            <w:shd w:val="clear" w:color="auto" w:fill="auto"/>
            <w:noWrap/>
            <w:vAlign w:val="center"/>
            <w:hideMark/>
          </w:tcPr>
          <w:p w14:paraId="7475A323"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382</w:t>
            </w:r>
          </w:p>
        </w:tc>
        <w:tc>
          <w:tcPr>
            <w:tcW w:w="835" w:type="dxa"/>
            <w:tcBorders>
              <w:top w:val="nil"/>
              <w:left w:val="nil"/>
              <w:bottom w:val="single" w:sz="8" w:space="0" w:color="0070C0"/>
              <w:right w:val="nil"/>
            </w:tcBorders>
            <w:shd w:val="clear" w:color="auto" w:fill="auto"/>
            <w:noWrap/>
            <w:vAlign w:val="center"/>
            <w:hideMark/>
          </w:tcPr>
          <w:p w14:paraId="600072EB"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233</w:t>
            </w:r>
          </w:p>
        </w:tc>
        <w:tc>
          <w:tcPr>
            <w:tcW w:w="807" w:type="dxa"/>
            <w:tcBorders>
              <w:top w:val="nil"/>
              <w:left w:val="nil"/>
              <w:bottom w:val="single" w:sz="8" w:space="0" w:color="0070C0"/>
              <w:right w:val="nil"/>
            </w:tcBorders>
            <w:shd w:val="clear" w:color="auto" w:fill="auto"/>
            <w:noWrap/>
            <w:vAlign w:val="center"/>
            <w:hideMark/>
          </w:tcPr>
          <w:p w14:paraId="0C458F4B"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0</w:t>
            </w:r>
          </w:p>
        </w:tc>
        <w:tc>
          <w:tcPr>
            <w:tcW w:w="807" w:type="dxa"/>
            <w:tcBorders>
              <w:top w:val="nil"/>
              <w:left w:val="single" w:sz="8" w:space="0" w:color="0070C0"/>
              <w:bottom w:val="single" w:sz="8" w:space="0" w:color="0070C0"/>
              <w:right w:val="single" w:sz="8" w:space="0" w:color="0070C0"/>
            </w:tcBorders>
            <w:shd w:val="clear" w:color="auto" w:fill="auto"/>
            <w:noWrap/>
            <w:vAlign w:val="center"/>
            <w:hideMark/>
          </w:tcPr>
          <w:p w14:paraId="6396F5A1"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29,890</w:t>
            </w:r>
          </w:p>
        </w:tc>
      </w:tr>
      <w:tr w:rsidR="005E72EC" w:rsidRPr="002C2316" w14:paraId="2E5624E6" w14:textId="77777777" w:rsidTr="004F0D35">
        <w:trPr>
          <w:trHeight w:val="219"/>
        </w:trPr>
        <w:tc>
          <w:tcPr>
            <w:tcW w:w="1499" w:type="dxa"/>
            <w:tcBorders>
              <w:top w:val="nil"/>
              <w:left w:val="single" w:sz="8" w:space="0" w:color="0070C0"/>
              <w:bottom w:val="single" w:sz="8" w:space="0" w:color="0070C0"/>
              <w:right w:val="single" w:sz="8" w:space="0" w:color="0070C0"/>
            </w:tcBorders>
            <w:shd w:val="clear" w:color="auto" w:fill="auto"/>
            <w:noWrap/>
            <w:vAlign w:val="center"/>
            <w:hideMark/>
          </w:tcPr>
          <w:p w14:paraId="6530C9FF" w14:textId="77777777" w:rsidR="005E72EC" w:rsidRPr="002C2316" w:rsidRDefault="005E72EC" w:rsidP="004F0D35">
            <w:pPr>
              <w:spacing w:after="0" w:line="240" w:lineRule="auto"/>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Total</w:t>
            </w:r>
          </w:p>
        </w:tc>
        <w:tc>
          <w:tcPr>
            <w:tcW w:w="812" w:type="dxa"/>
            <w:tcBorders>
              <w:top w:val="nil"/>
              <w:left w:val="nil"/>
              <w:bottom w:val="single" w:sz="8" w:space="0" w:color="0070C0"/>
              <w:right w:val="nil"/>
            </w:tcBorders>
            <w:shd w:val="clear" w:color="auto" w:fill="auto"/>
            <w:noWrap/>
            <w:vAlign w:val="center"/>
            <w:hideMark/>
          </w:tcPr>
          <w:p w14:paraId="1BC216AD"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31,080</w:t>
            </w:r>
          </w:p>
        </w:tc>
        <w:tc>
          <w:tcPr>
            <w:tcW w:w="1055" w:type="dxa"/>
            <w:tcBorders>
              <w:top w:val="nil"/>
              <w:left w:val="nil"/>
              <w:bottom w:val="single" w:sz="8" w:space="0" w:color="0070C0"/>
              <w:right w:val="nil"/>
            </w:tcBorders>
            <w:shd w:val="clear" w:color="auto" w:fill="auto"/>
            <w:noWrap/>
            <w:vAlign w:val="center"/>
            <w:hideMark/>
          </w:tcPr>
          <w:p w14:paraId="7FECB8EB"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401</w:t>
            </w:r>
          </w:p>
        </w:tc>
        <w:tc>
          <w:tcPr>
            <w:tcW w:w="922" w:type="dxa"/>
            <w:tcBorders>
              <w:top w:val="nil"/>
              <w:left w:val="nil"/>
              <w:bottom w:val="single" w:sz="8" w:space="0" w:color="0070C0"/>
              <w:right w:val="nil"/>
            </w:tcBorders>
            <w:shd w:val="clear" w:color="auto" w:fill="auto"/>
            <w:noWrap/>
            <w:vAlign w:val="center"/>
            <w:hideMark/>
          </w:tcPr>
          <w:p w14:paraId="377F19EA"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375</w:t>
            </w:r>
          </w:p>
        </w:tc>
        <w:tc>
          <w:tcPr>
            <w:tcW w:w="812" w:type="dxa"/>
            <w:tcBorders>
              <w:top w:val="nil"/>
              <w:left w:val="nil"/>
              <w:bottom w:val="single" w:sz="8" w:space="0" w:color="0070C0"/>
              <w:right w:val="nil"/>
            </w:tcBorders>
            <w:shd w:val="clear" w:color="auto" w:fill="auto"/>
            <w:noWrap/>
            <w:vAlign w:val="center"/>
            <w:hideMark/>
          </w:tcPr>
          <w:p w14:paraId="2211FA4E"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64,249</w:t>
            </w:r>
          </w:p>
        </w:tc>
        <w:tc>
          <w:tcPr>
            <w:tcW w:w="807" w:type="dxa"/>
            <w:tcBorders>
              <w:top w:val="nil"/>
              <w:left w:val="single" w:sz="8" w:space="0" w:color="0070C0"/>
              <w:bottom w:val="single" w:sz="8" w:space="0" w:color="0070C0"/>
              <w:right w:val="single" w:sz="8" w:space="0" w:color="0070C0"/>
            </w:tcBorders>
            <w:shd w:val="clear" w:color="auto" w:fill="auto"/>
            <w:noWrap/>
            <w:vAlign w:val="center"/>
            <w:hideMark/>
          </w:tcPr>
          <w:p w14:paraId="26BC4313"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96,105</w:t>
            </w:r>
          </w:p>
        </w:tc>
        <w:tc>
          <w:tcPr>
            <w:tcW w:w="812" w:type="dxa"/>
            <w:tcBorders>
              <w:top w:val="nil"/>
              <w:left w:val="nil"/>
              <w:bottom w:val="single" w:sz="8" w:space="0" w:color="0070C0"/>
              <w:right w:val="nil"/>
            </w:tcBorders>
            <w:shd w:val="clear" w:color="auto" w:fill="auto"/>
            <w:noWrap/>
            <w:vAlign w:val="center"/>
            <w:hideMark/>
          </w:tcPr>
          <w:p w14:paraId="1F660759"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31,080</w:t>
            </w:r>
          </w:p>
        </w:tc>
        <w:tc>
          <w:tcPr>
            <w:tcW w:w="1055" w:type="dxa"/>
            <w:tcBorders>
              <w:top w:val="nil"/>
              <w:left w:val="nil"/>
              <w:bottom w:val="single" w:sz="8" w:space="0" w:color="0070C0"/>
              <w:right w:val="nil"/>
            </w:tcBorders>
            <w:shd w:val="clear" w:color="auto" w:fill="auto"/>
            <w:noWrap/>
            <w:vAlign w:val="center"/>
            <w:hideMark/>
          </w:tcPr>
          <w:p w14:paraId="283493D6"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401</w:t>
            </w:r>
          </w:p>
        </w:tc>
        <w:tc>
          <w:tcPr>
            <w:tcW w:w="835" w:type="dxa"/>
            <w:tcBorders>
              <w:top w:val="nil"/>
              <w:left w:val="nil"/>
              <w:bottom w:val="single" w:sz="8" w:space="0" w:color="0070C0"/>
              <w:right w:val="nil"/>
            </w:tcBorders>
            <w:shd w:val="clear" w:color="auto" w:fill="auto"/>
            <w:noWrap/>
            <w:vAlign w:val="center"/>
            <w:hideMark/>
          </w:tcPr>
          <w:p w14:paraId="04183C8E"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375</w:t>
            </w:r>
          </w:p>
        </w:tc>
        <w:tc>
          <w:tcPr>
            <w:tcW w:w="807" w:type="dxa"/>
            <w:tcBorders>
              <w:top w:val="nil"/>
              <w:left w:val="nil"/>
              <w:bottom w:val="single" w:sz="8" w:space="0" w:color="0070C0"/>
              <w:right w:val="nil"/>
            </w:tcBorders>
            <w:shd w:val="clear" w:color="auto" w:fill="auto"/>
            <w:noWrap/>
            <w:vAlign w:val="center"/>
            <w:hideMark/>
          </w:tcPr>
          <w:p w14:paraId="30D7D5D3"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0</w:t>
            </w:r>
          </w:p>
        </w:tc>
        <w:tc>
          <w:tcPr>
            <w:tcW w:w="807" w:type="dxa"/>
            <w:tcBorders>
              <w:top w:val="nil"/>
              <w:left w:val="single" w:sz="8" w:space="0" w:color="0070C0"/>
              <w:bottom w:val="single" w:sz="8" w:space="0" w:color="0070C0"/>
              <w:right w:val="single" w:sz="8" w:space="0" w:color="0070C0"/>
            </w:tcBorders>
            <w:shd w:val="clear" w:color="auto" w:fill="auto"/>
            <w:noWrap/>
            <w:vAlign w:val="center"/>
            <w:hideMark/>
          </w:tcPr>
          <w:p w14:paraId="6332C901"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31,855</w:t>
            </w:r>
          </w:p>
        </w:tc>
      </w:tr>
      <w:tr w:rsidR="005E72EC" w:rsidRPr="002C2316" w14:paraId="33D802B2" w14:textId="77777777" w:rsidTr="004F0D35">
        <w:trPr>
          <w:trHeight w:val="228"/>
        </w:trPr>
        <w:tc>
          <w:tcPr>
            <w:tcW w:w="1499" w:type="dxa"/>
            <w:tcBorders>
              <w:top w:val="nil"/>
              <w:left w:val="nil"/>
              <w:bottom w:val="nil"/>
              <w:right w:val="nil"/>
            </w:tcBorders>
            <w:shd w:val="clear" w:color="auto" w:fill="auto"/>
            <w:noWrap/>
            <w:vAlign w:val="bottom"/>
            <w:hideMark/>
          </w:tcPr>
          <w:p w14:paraId="39D256DC"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p>
        </w:tc>
        <w:tc>
          <w:tcPr>
            <w:tcW w:w="812" w:type="dxa"/>
            <w:tcBorders>
              <w:top w:val="nil"/>
              <w:left w:val="nil"/>
              <w:bottom w:val="nil"/>
              <w:right w:val="nil"/>
            </w:tcBorders>
            <w:shd w:val="clear" w:color="auto" w:fill="auto"/>
            <w:noWrap/>
            <w:vAlign w:val="bottom"/>
            <w:hideMark/>
          </w:tcPr>
          <w:p w14:paraId="555AFE74"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c>
          <w:tcPr>
            <w:tcW w:w="1055" w:type="dxa"/>
            <w:tcBorders>
              <w:top w:val="nil"/>
              <w:left w:val="nil"/>
              <w:bottom w:val="nil"/>
              <w:right w:val="nil"/>
            </w:tcBorders>
            <w:shd w:val="clear" w:color="auto" w:fill="auto"/>
            <w:noWrap/>
            <w:vAlign w:val="bottom"/>
            <w:hideMark/>
          </w:tcPr>
          <w:p w14:paraId="1EE07B63"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c>
          <w:tcPr>
            <w:tcW w:w="922" w:type="dxa"/>
            <w:tcBorders>
              <w:top w:val="nil"/>
              <w:left w:val="nil"/>
              <w:bottom w:val="nil"/>
              <w:right w:val="nil"/>
            </w:tcBorders>
            <w:shd w:val="clear" w:color="auto" w:fill="auto"/>
            <w:noWrap/>
            <w:vAlign w:val="bottom"/>
            <w:hideMark/>
          </w:tcPr>
          <w:p w14:paraId="24EA573D"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c>
          <w:tcPr>
            <w:tcW w:w="812" w:type="dxa"/>
            <w:tcBorders>
              <w:top w:val="nil"/>
              <w:left w:val="nil"/>
              <w:bottom w:val="nil"/>
              <w:right w:val="nil"/>
            </w:tcBorders>
            <w:shd w:val="clear" w:color="auto" w:fill="auto"/>
            <w:noWrap/>
            <w:vAlign w:val="bottom"/>
            <w:hideMark/>
          </w:tcPr>
          <w:p w14:paraId="4D218392"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c>
          <w:tcPr>
            <w:tcW w:w="807" w:type="dxa"/>
            <w:tcBorders>
              <w:top w:val="nil"/>
              <w:left w:val="nil"/>
              <w:bottom w:val="nil"/>
              <w:right w:val="nil"/>
            </w:tcBorders>
            <w:shd w:val="clear" w:color="auto" w:fill="auto"/>
            <w:noWrap/>
            <w:vAlign w:val="bottom"/>
            <w:hideMark/>
          </w:tcPr>
          <w:p w14:paraId="19C14BA9"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c>
          <w:tcPr>
            <w:tcW w:w="812" w:type="dxa"/>
            <w:tcBorders>
              <w:top w:val="nil"/>
              <w:left w:val="nil"/>
              <w:bottom w:val="nil"/>
              <w:right w:val="nil"/>
            </w:tcBorders>
            <w:shd w:val="clear" w:color="auto" w:fill="auto"/>
            <w:noWrap/>
            <w:vAlign w:val="bottom"/>
            <w:hideMark/>
          </w:tcPr>
          <w:p w14:paraId="27806125"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c>
          <w:tcPr>
            <w:tcW w:w="1055" w:type="dxa"/>
            <w:tcBorders>
              <w:top w:val="nil"/>
              <w:left w:val="nil"/>
              <w:bottom w:val="nil"/>
              <w:right w:val="nil"/>
            </w:tcBorders>
            <w:shd w:val="clear" w:color="auto" w:fill="auto"/>
            <w:noWrap/>
            <w:vAlign w:val="bottom"/>
            <w:hideMark/>
          </w:tcPr>
          <w:p w14:paraId="031B9E9D"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c>
          <w:tcPr>
            <w:tcW w:w="835" w:type="dxa"/>
            <w:tcBorders>
              <w:top w:val="nil"/>
              <w:left w:val="nil"/>
              <w:bottom w:val="nil"/>
              <w:right w:val="nil"/>
            </w:tcBorders>
            <w:shd w:val="clear" w:color="auto" w:fill="auto"/>
            <w:noWrap/>
            <w:vAlign w:val="bottom"/>
            <w:hideMark/>
          </w:tcPr>
          <w:p w14:paraId="55A09C2A"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c>
          <w:tcPr>
            <w:tcW w:w="807" w:type="dxa"/>
            <w:tcBorders>
              <w:top w:val="nil"/>
              <w:left w:val="nil"/>
              <w:bottom w:val="nil"/>
              <w:right w:val="nil"/>
            </w:tcBorders>
            <w:shd w:val="clear" w:color="auto" w:fill="auto"/>
            <w:noWrap/>
            <w:vAlign w:val="bottom"/>
            <w:hideMark/>
          </w:tcPr>
          <w:p w14:paraId="0D93DAC5"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c>
          <w:tcPr>
            <w:tcW w:w="807" w:type="dxa"/>
            <w:tcBorders>
              <w:top w:val="nil"/>
              <w:left w:val="nil"/>
              <w:bottom w:val="nil"/>
              <w:right w:val="nil"/>
            </w:tcBorders>
            <w:shd w:val="clear" w:color="auto" w:fill="auto"/>
            <w:noWrap/>
            <w:vAlign w:val="bottom"/>
            <w:hideMark/>
          </w:tcPr>
          <w:p w14:paraId="7C3C6412"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r>
      <w:tr w:rsidR="005E72EC" w:rsidRPr="002C2316" w14:paraId="5F5104DA" w14:textId="77777777" w:rsidTr="004F0D35">
        <w:trPr>
          <w:trHeight w:val="238"/>
        </w:trPr>
        <w:tc>
          <w:tcPr>
            <w:tcW w:w="1499" w:type="dxa"/>
            <w:tcBorders>
              <w:top w:val="nil"/>
              <w:left w:val="nil"/>
              <w:bottom w:val="nil"/>
              <w:right w:val="nil"/>
            </w:tcBorders>
            <w:shd w:val="clear" w:color="auto" w:fill="auto"/>
            <w:noWrap/>
            <w:vAlign w:val="bottom"/>
            <w:hideMark/>
          </w:tcPr>
          <w:p w14:paraId="499FE016"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c>
          <w:tcPr>
            <w:tcW w:w="3601" w:type="dxa"/>
            <w:gridSpan w:val="4"/>
            <w:tcBorders>
              <w:top w:val="single" w:sz="8" w:space="0" w:color="0070C0"/>
              <w:left w:val="single" w:sz="8" w:space="0" w:color="0070C0"/>
              <w:bottom w:val="single" w:sz="8" w:space="0" w:color="0070C0"/>
              <w:right w:val="nil"/>
            </w:tcBorders>
            <w:shd w:val="clear" w:color="auto" w:fill="auto"/>
            <w:noWrap/>
            <w:vAlign w:val="center"/>
            <w:hideMark/>
          </w:tcPr>
          <w:p w14:paraId="1564932C" w14:textId="77777777" w:rsidR="005E72EC" w:rsidRPr="006C303A" w:rsidRDefault="005E72EC" w:rsidP="004F0D35">
            <w:pPr>
              <w:spacing w:after="0" w:line="240" w:lineRule="auto"/>
              <w:jc w:val="center"/>
              <w:rPr>
                <w:rFonts w:ascii="Trebuchet MS" w:eastAsia="Times New Roman" w:hAnsi="Trebuchet MS" w:cs="Arial"/>
                <w:b/>
                <w:bCs/>
                <w:color w:val="0070C0"/>
                <w:sz w:val="16"/>
                <w:szCs w:val="16"/>
                <w:lang w:eastAsia="en-GB"/>
              </w:rPr>
            </w:pPr>
            <w:r w:rsidRPr="006C303A">
              <w:rPr>
                <w:rFonts w:ascii="Trebuchet MS" w:eastAsia="Times New Roman" w:hAnsi="Trebuchet MS" w:cs="Arial"/>
                <w:b/>
                <w:bCs/>
                <w:color w:val="0070C0"/>
                <w:sz w:val="16"/>
                <w:szCs w:val="16"/>
                <w:lang w:eastAsia="en-GB"/>
              </w:rPr>
              <w:t>Before Scheme</w:t>
            </w:r>
          </w:p>
        </w:tc>
        <w:tc>
          <w:tcPr>
            <w:tcW w:w="807" w:type="dxa"/>
            <w:tcBorders>
              <w:top w:val="single" w:sz="8" w:space="0" w:color="0070C0"/>
              <w:left w:val="nil"/>
              <w:bottom w:val="single" w:sz="8" w:space="0" w:color="0070C0"/>
              <w:right w:val="single" w:sz="8" w:space="0" w:color="0070C0"/>
            </w:tcBorders>
            <w:shd w:val="clear" w:color="auto" w:fill="auto"/>
            <w:noWrap/>
            <w:vAlign w:val="center"/>
            <w:hideMark/>
          </w:tcPr>
          <w:p w14:paraId="4E6EB708" w14:textId="77777777" w:rsidR="005E72EC" w:rsidRPr="006C303A" w:rsidRDefault="005E72EC" w:rsidP="004F0D35">
            <w:pPr>
              <w:spacing w:after="0" w:line="240" w:lineRule="auto"/>
              <w:jc w:val="center"/>
              <w:rPr>
                <w:rFonts w:ascii="Trebuchet MS" w:eastAsia="Times New Roman" w:hAnsi="Trebuchet MS" w:cs="Arial"/>
                <w:b/>
                <w:bCs/>
                <w:color w:val="0070C0"/>
                <w:sz w:val="16"/>
                <w:szCs w:val="16"/>
                <w:lang w:eastAsia="en-GB"/>
              </w:rPr>
            </w:pPr>
            <w:r w:rsidRPr="006C303A">
              <w:rPr>
                <w:rFonts w:ascii="Trebuchet MS" w:eastAsia="Times New Roman" w:hAnsi="Trebuchet MS" w:cs="Arial"/>
                <w:b/>
                <w:bCs/>
                <w:color w:val="0070C0"/>
                <w:sz w:val="16"/>
                <w:szCs w:val="16"/>
                <w:lang w:eastAsia="en-GB"/>
              </w:rPr>
              <w:t> </w:t>
            </w:r>
          </w:p>
        </w:tc>
        <w:tc>
          <w:tcPr>
            <w:tcW w:w="4316" w:type="dxa"/>
            <w:gridSpan w:val="5"/>
            <w:tcBorders>
              <w:top w:val="single" w:sz="8" w:space="0" w:color="0070C0"/>
              <w:left w:val="nil"/>
              <w:bottom w:val="single" w:sz="8" w:space="0" w:color="0070C0"/>
              <w:right w:val="single" w:sz="8" w:space="0" w:color="0070C0"/>
            </w:tcBorders>
            <w:shd w:val="clear" w:color="auto" w:fill="auto"/>
            <w:noWrap/>
            <w:vAlign w:val="center"/>
            <w:hideMark/>
          </w:tcPr>
          <w:p w14:paraId="087082A7" w14:textId="77777777" w:rsidR="005E72EC" w:rsidRPr="006C303A" w:rsidRDefault="005E72EC" w:rsidP="004F0D35">
            <w:pPr>
              <w:spacing w:after="0" w:line="240" w:lineRule="auto"/>
              <w:jc w:val="center"/>
              <w:rPr>
                <w:rFonts w:ascii="Trebuchet MS" w:eastAsia="Times New Roman" w:hAnsi="Trebuchet MS" w:cs="Arial"/>
                <w:b/>
                <w:bCs/>
                <w:color w:val="0070C0"/>
                <w:sz w:val="16"/>
                <w:szCs w:val="16"/>
                <w:lang w:eastAsia="en-GB"/>
              </w:rPr>
            </w:pPr>
            <w:r w:rsidRPr="006C303A">
              <w:rPr>
                <w:rFonts w:ascii="Trebuchet MS" w:eastAsia="Times New Roman" w:hAnsi="Trebuchet MS" w:cs="Arial"/>
                <w:b/>
                <w:bCs/>
                <w:color w:val="0070C0"/>
                <w:sz w:val="16"/>
                <w:szCs w:val="16"/>
                <w:lang w:eastAsia="en-GB"/>
              </w:rPr>
              <w:t>After Scheme</w:t>
            </w:r>
          </w:p>
        </w:tc>
      </w:tr>
      <w:tr w:rsidR="005E72EC" w:rsidRPr="002C2316" w14:paraId="54FE123E" w14:textId="77777777" w:rsidTr="004F0D35">
        <w:trPr>
          <w:trHeight w:val="257"/>
        </w:trPr>
        <w:tc>
          <w:tcPr>
            <w:tcW w:w="1499" w:type="dxa"/>
            <w:tcBorders>
              <w:top w:val="nil"/>
              <w:left w:val="nil"/>
              <w:bottom w:val="nil"/>
              <w:right w:val="nil"/>
            </w:tcBorders>
            <w:shd w:val="clear" w:color="auto" w:fill="auto"/>
            <w:noWrap/>
            <w:vAlign w:val="center"/>
            <w:hideMark/>
          </w:tcPr>
          <w:p w14:paraId="42340446" w14:textId="77777777" w:rsidR="005E72EC" w:rsidRPr="002C2316" w:rsidRDefault="005E72EC" w:rsidP="004F0D35">
            <w:pPr>
              <w:spacing w:after="0" w:line="240" w:lineRule="auto"/>
              <w:jc w:val="center"/>
              <w:rPr>
                <w:rFonts w:ascii="Trebuchet MS" w:eastAsia="Times New Roman" w:hAnsi="Trebuchet MS" w:cs="Times New Roman"/>
                <w:b/>
                <w:bCs/>
                <w:color w:val="000000"/>
                <w:sz w:val="16"/>
                <w:szCs w:val="16"/>
                <w:lang w:eastAsia="en-GB"/>
              </w:rPr>
            </w:pPr>
            <w:r w:rsidRPr="002C2316">
              <w:rPr>
                <w:rFonts w:ascii="Trebuchet MS" w:eastAsia="Times New Roman" w:hAnsi="Trebuchet MS" w:cs="Times New Roman"/>
                <w:b/>
                <w:bCs/>
                <w:color w:val="000000"/>
                <w:sz w:val="16"/>
                <w:szCs w:val="16"/>
                <w:lang w:eastAsia="en-GB"/>
              </w:rPr>
              <w:t>AEI</w:t>
            </w:r>
          </w:p>
        </w:tc>
        <w:tc>
          <w:tcPr>
            <w:tcW w:w="812" w:type="dxa"/>
            <w:tcBorders>
              <w:top w:val="nil"/>
              <w:left w:val="single" w:sz="8" w:space="0" w:color="0070C0"/>
              <w:bottom w:val="single" w:sz="8" w:space="0" w:color="0070C0"/>
              <w:right w:val="nil"/>
            </w:tcBorders>
            <w:shd w:val="clear" w:color="auto" w:fill="auto"/>
            <w:noWrap/>
            <w:vAlign w:val="center"/>
            <w:hideMark/>
          </w:tcPr>
          <w:p w14:paraId="6094CC8A" w14:textId="77777777" w:rsidR="005E72EC" w:rsidRPr="002C2316" w:rsidRDefault="005E72EC" w:rsidP="004F0D35">
            <w:pPr>
              <w:spacing w:after="0" w:line="240" w:lineRule="auto"/>
              <w:jc w:val="right"/>
              <w:rPr>
                <w:rFonts w:ascii="Trebuchet MS" w:eastAsia="Times New Roman" w:hAnsi="Trebuchet MS" w:cs="Arial"/>
                <w:color w:val="0070C0"/>
                <w:sz w:val="16"/>
                <w:szCs w:val="16"/>
                <w:lang w:eastAsia="en-GB"/>
              </w:rPr>
            </w:pPr>
            <w:r w:rsidRPr="002C2316">
              <w:rPr>
                <w:rFonts w:ascii="Trebuchet MS" w:eastAsia="Times New Roman" w:hAnsi="Trebuchet MS" w:cs="Arial"/>
                <w:color w:val="0070C0"/>
                <w:sz w:val="16"/>
                <w:szCs w:val="16"/>
                <w:lang w:eastAsia="en-GB"/>
              </w:rPr>
              <w:t>UK</w:t>
            </w:r>
          </w:p>
        </w:tc>
        <w:tc>
          <w:tcPr>
            <w:tcW w:w="1055" w:type="dxa"/>
            <w:tcBorders>
              <w:top w:val="nil"/>
              <w:left w:val="nil"/>
              <w:bottom w:val="single" w:sz="8" w:space="0" w:color="0070C0"/>
              <w:right w:val="nil"/>
            </w:tcBorders>
            <w:shd w:val="clear" w:color="auto" w:fill="auto"/>
            <w:noWrap/>
            <w:vAlign w:val="center"/>
            <w:hideMark/>
          </w:tcPr>
          <w:p w14:paraId="4777C58A" w14:textId="77777777" w:rsidR="005E72EC" w:rsidRPr="002C2316" w:rsidRDefault="005E72EC" w:rsidP="004F0D35">
            <w:pPr>
              <w:spacing w:after="0" w:line="240" w:lineRule="auto"/>
              <w:jc w:val="right"/>
              <w:rPr>
                <w:rFonts w:ascii="Trebuchet MS" w:eastAsia="Times New Roman" w:hAnsi="Trebuchet MS" w:cs="Arial"/>
                <w:color w:val="0070C0"/>
                <w:sz w:val="16"/>
                <w:szCs w:val="16"/>
                <w:lang w:eastAsia="en-GB"/>
              </w:rPr>
            </w:pPr>
            <w:r w:rsidRPr="002C2316">
              <w:rPr>
                <w:rFonts w:ascii="Trebuchet MS" w:eastAsia="Times New Roman" w:hAnsi="Trebuchet MS" w:cs="Arial"/>
                <w:color w:val="0070C0"/>
                <w:sz w:val="16"/>
                <w:szCs w:val="16"/>
                <w:lang w:eastAsia="en-GB"/>
              </w:rPr>
              <w:t>Switzerland</w:t>
            </w:r>
          </w:p>
        </w:tc>
        <w:tc>
          <w:tcPr>
            <w:tcW w:w="922" w:type="dxa"/>
            <w:tcBorders>
              <w:top w:val="nil"/>
              <w:left w:val="nil"/>
              <w:bottom w:val="single" w:sz="8" w:space="0" w:color="0070C0"/>
              <w:right w:val="nil"/>
            </w:tcBorders>
            <w:shd w:val="clear" w:color="auto" w:fill="auto"/>
            <w:noWrap/>
            <w:vAlign w:val="center"/>
            <w:hideMark/>
          </w:tcPr>
          <w:p w14:paraId="58E21F31" w14:textId="77777777" w:rsidR="005E72EC" w:rsidRPr="002C2316" w:rsidRDefault="005E72EC" w:rsidP="004F0D35">
            <w:pPr>
              <w:spacing w:after="0" w:line="240" w:lineRule="auto"/>
              <w:jc w:val="right"/>
              <w:rPr>
                <w:rFonts w:ascii="Trebuchet MS" w:eastAsia="Times New Roman" w:hAnsi="Trebuchet MS" w:cs="Arial"/>
                <w:color w:val="0070C0"/>
                <w:sz w:val="16"/>
                <w:szCs w:val="16"/>
                <w:lang w:eastAsia="en-GB"/>
              </w:rPr>
            </w:pPr>
            <w:r w:rsidRPr="002C2316">
              <w:rPr>
                <w:rFonts w:ascii="Trebuchet MS" w:eastAsia="Times New Roman" w:hAnsi="Trebuchet MS" w:cs="Arial"/>
                <w:color w:val="0070C0"/>
                <w:sz w:val="16"/>
                <w:szCs w:val="16"/>
                <w:lang w:eastAsia="en-GB"/>
              </w:rPr>
              <w:t>South Africa</w:t>
            </w:r>
          </w:p>
        </w:tc>
        <w:tc>
          <w:tcPr>
            <w:tcW w:w="812" w:type="dxa"/>
            <w:tcBorders>
              <w:top w:val="nil"/>
              <w:left w:val="nil"/>
              <w:bottom w:val="single" w:sz="8" w:space="0" w:color="0070C0"/>
              <w:right w:val="nil"/>
            </w:tcBorders>
            <w:shd w:val="clear" w:color="auto" w:fill="auto"/>
            <w:noWrap/>
            <w:vAlign w:val="center"/>
            <w:hideMark/>
          </w:tcPr>
          <w:p w14:paraId="75D36F64" w14:textId="77777777" w:rsidR="005E72EC" w:rsidRPr="002C2316" w:rsidRDefault="005E72EC" w:rsidP="004F0D35">
            <w:pPr>
              <w:spacing w:after="0" w:line="240" w:lineRule="auto"/>
              <w:jc w:val="right"/>
              <w:rPr>
                <w:rFonts w:ascii="Trebuchet MS" w:eastAsia="Times New Roman" w:hAnsi="Trebuchet MS" w:cs="Arial"/>
                <w:color w:val="0070C0"/>
                <w:sz w:val="16"/>
                <w:szCs w:val="16"/>
                <w:lang w:eastAsia="en-GB"/>
              </w:rPr>
            </w:pPr>
            <w:r w:rsidRPr="002C2316">
              <w:rPr>
                <w:rFonts w:ascii="Trebuchet MS" w:eastAsia="Times New Roman" w:hAnsi="Trebuchet MS" w:cs="Arial"/>
                <w:color w:val="0070C0"/>
                <w:sz w:val="16"/>
                <w:szCs w:val="16"/>
                <w:lang w:eastAsia="en-GB"/>
              </w:rPr>
              <w:t>EU</w:t>
            </w:r>
          </w:p>
        </w:tc>
        <w:tc>
          <w:tcPr>
            <w:tcW w:w="807" w:type="dxa"/>
            <w:tcBorders>
              <w:top w:val="nil"/>
              <w:left w:val="single" w:sz="8" w:space="0" w:color="0070C0"/>
              <w:bottom w:val="single" w:sz="8" w:space="0" w:color="0070C0"/>
              <w:right w:val="single" w:sz="8" w:space="0" w:color="0070C0"/>
            </w:tcBorders>
            <w:shd w:val="clear" w:color="auto" w:fill="auto"/>
            <w:noWrap/>
            <w:vAlign w:val="center"/>
            <w:hideMark/>
          </w:tcPr>
          <w:p w14:paraId="4B65524D" w14:textId="77777777" w:rsidR="005E72EC" w:rsidRPr="002C2316" w:rsidRDefault="005E72EC" w:rsidP="004F0D35">
            <w:pPr>
              <w:spacing w:after="0" w:line="240" w:lineRule="auto"/>
              <w:jc w:val="right"/>
              <w:rPr>
                <w:rFonts w:ascii="Trebuchet MS" w:eastAsia="Times New Roman" w:hAnsi="Trebuchet MS" w:cs="Arial"/>
                <w:color w:val="0070C0"/>
                <w:sz w:val="16"/>
                <w:szCs w:val="16"/>
                <w:lang w:eastAsia="en-GB"/>
              </w:rPr>
            </w:pPr>
            <w:r w:rsidRPr="002C2316">
              <w:rPr>
                <w:rFonts w:ascii="Trebuchet MS" w:eastAsia="Times New Roman" w:hAnsi="Trebuchet MS" w:cs="Arial"/>
                <w:color w:val="0070C0"/>
                <w:sz w:val="16"/>
                <w:szCs w:val="16"/>
                <w:lang w:eastAsia="en-GB"/>
              </w:rPr>
              <w:t>Total</w:t>
            </w:r>
          </w:p>
        </w:tc>
        <w:tc>
          <w:tcPr>
            <w:tcW w:w="812" w:type="dxa"/>
            <w:tcBorders>
              <w:top w:val="nil"/>
              <w:left w:val="nil"/>
              <w:bottom w:val="single" w:sz="8" w:space="0" w:color="0070C0"/>
              <w:right w:val="nil"/>
            </w:tcBorders>
            <w:shd w:val="clear" w:color="auto" w:fill="auto"/>
            <w:noWrap/>
            <w:vAlign w:val="center"/>
            <w:hideMark/>
          </w:tcPr>
          <w:p w14:paraId="0913414C" w14:textId="77777777" w:rsidR="005E72EC" w:rsidRPr="002C2316" w:rsidRDefault="005E72EC" w:rsidP="004F0D35">
            <w:pPr>
              <w:spacing w:after="0" w:line="240" w:lineRule="auto"/>
              <w:jc w:val="right"/>
              <w:rPr>
                <w:rFonts w:ascii="Trebuchet MS" w:eastAsia="Times New Roman" w:hAnsi="Trebuchet MS" w:cs="Arial"/>
                <w:color w:val="0070C0"/>
                <w:sz w:val="16"/>
                <w:szCs w:val="16"/>
                <w:lang w:eastAsia="en-GB"/>
              </w:rPr>
            </w:pPr>
            <w:r w:rsidRPr="002C2316">
              <w:rPr>
                <w:rFonts w:ascii="Trebuchet MS" w:eastAsia="Times New Roman" w:hAnsi="Trebuchet MS" w:cs="Arial"/>
                <w:color w:val="0070C0"/>
                <w:sz w:val="16"/>
                <w:szCs w:val="16"/>
                <w:lang w:eastAsia="en-GB"/>
              </w:rPr>
              <w:t>UK</w:t>
            </w:r>
          </w:p>
        </w:tc>
        <w:tc>
          <w:tcPr>
            <w:tcW w:w="1055" w:type="dxa"/>
            <w:tcBorders>
              <w:top w:val="nil"/>
              <w:left w:val="nil"/>
              <w:bottom w:val="single" w:sz="8" w:space="0" w:color="0070C0"/>
              <w:right w:val="nil"/>
            </w:tcBorders>
            <w:shd w:val="clear" w:color="auto" w:fill="auto"/>
            <w:noWrap/>
            <w:vAlign w:val="center"/>
            <w:hideMark/>
          </w:tcPr>
          <w:p w14:paraId="42BCB49C" w14:textId="77777777" w:rsidR="005E72EC" w:rsidRPr="002C2316" w:rsidRDefault="005E72EC" w:rsidP="004F0D35">
            <w:pPr>
              <w:spacing w:after="0" w:line="240" w:lineRule="auto"/>
              <w:jc w:val="right"/>
              <w:rPr>
                <w:rFonts w:ascii="Trebuchet MS" w:eastAsia="Times New Roman" w:hAnsi="Trebuchet MS" w:cs="Arial"/>
                <w:color w:val="0070C0"/>
                <w:sz w:val="16"/>
                <w:szCs w:val="16"/>
                <w:lang w:eastAsia="en-GB"/>
              </w:rPr>
            </w:pPr>
            <w:r w:rsidRPr="002C2316">
              <w:rPr>
                <w:rFonts w:ascii="Trebuchet MS" w:eastAsia="Times New Roman" w:hAnsi="Trebuchet MS" w:cs="Arial"/>
                <w:color w:val="0070C0"/>
                <w:sz w:val="16"/>
                <w:szCs w:val="16"/>
                <w:lang w:eastAsia="en-GB"/>
              </w:rPr>
              <w:t>Switzerland</w:t>
            </w:r>
          </w:p>
        </w:tc>
        <w:tc>
          <w:tcPr>
            <w:tcW w:w="835" w:type="dxa"/>
            <w:tcBorders>
              <w:top w:val="nil"/>
              <w:left w:val="nil"/>
              <w:bottom w:val="single" w:sz="8" w:space="0" w:color="0070C0"/>
              <w:right w:val="nil"/>
            </w:tcBorders>
            <w:shd w:val="clear" w:color="auto" w:fill="auto"/>
            <w:noWrap/>
            <w:vAlign w:val="center"/>
            <w:hideMark/>
          </w:tcPr>
          <w:p w14:paraId="5C69A0C2" w14:textId="77777777" w:rsidR="005E72EC" w:rsidRPr="002C2316" w:rsidRDefault="005E72EC" w:rsidP="004F0D35">
            <w:pPr>
              <w:spacing w:after="0" w:line="240" w:lineRule="auto"/>
              <w:jc w:val="right"/>
              <w:rPr>
                <w:rFonts w:ascii="Trebuchet MS" w:eastAsia="Times New Roman" w:hAnsi="Trebuchet MS" w:cs="Arial"/>
                <w:color w:val="0070C0"/>
                <w:sz w:val="16"/>
                <w:szCs w:val="16"/>
                <w:lang w:eastAsia="en-GB"/>
              </w:rPr>
            </w:pPr>
            <w:r w:rsidRPr="002C2316">
              <w:rPr>
                <w:rFonts w:ascii="Trebuchet MS" w:eastAsia="Times New Roman" w:hAnsi="Trebuchet MS" w:cs="Arial"/>
                <w:color w:val="0070C0"/>
                <w:sz w:val="16"/>
                <w:szCs w:val="16"/>
                <w:lang w:eastAsia="en-GB"/>
              </w:rPr>
              <w:t>South Africa</w:t>
            </w:r>
          </w:p>
        </w:tc>
        <w:tc>
          <w:tcPr>
            <w:tcW w:w="807" w:type="dxa"/>
            <w:tcBorders>
              <w:top w:val="nil"/>
              <w:left w:val="nil"/>
              <w:bottom w:val="single" w:sz="8" w:space="0" w:color="0070C0"/>
              <w:right w:val="nil"/>
            </w:tcBorders>
            <w:shd w:val="clear" w:color="auto" w:fill="auto"/>
            <w:noWrap/>
            <w:vAlign w:val="center"/>
            <w:hideMark/>
          </w:tcPr>
          <w:p w14:paraId="5B491561" w14:textId="77777777" w:rsidR="005E72EC" w:rsidRPr="002C2316" w:rsidRDefault="005E72EC" w:rsidP="004F0D35">
            <w:pPr>
              <w:spacing w:after="0" w:line="240" w:lineRule="auto"/>
              <w:jc w:val="right"/>
              <w:rPr>
                <w:rFonts w:ascii="Trebuchet MS" w:eastAsia="Times New Roman" w:hAnsi="Trebuchet MS" w:cs="Arial"/>
                <w:color w:val="0070C0"/>
                <w:sz w:val="16"/>
                <w:szCs w:val="16"/>
                <w:lang w:eastAsia="en-GB"/>
              </w:rPr>
            </w:pPr>
            <w:r w:rsidRPr="002C2316">
              <w:rPr>
                <w:rFonts w:ascii="Trebuchet MS" w:eastAsia="Times New Roman" w:hAnsi="Trebuchet MS" w:cs="Arial"/>
                <w:color w:val="0070C0"/>
                <w:sz w:val="16"/>
                <w:szCs w:val="16"/>
                <w:lang w:eastAsia="en-GB"/>
              </w:rPr>
              <w:t>EU</w:t>
            </w:r>
          </w:p>
        </w:tc>
        <w:tc>
          <w:tcPr>
            <w:tcW w:w="807" w:type="dxa"/>
            <w:tcBorders>
              <w:top w:val="nil"/>
              <w:left w:val="single" w:sz="8" w:space="0" w:color="0070C0"/>
              <w:bottom w:val="single" w:sz="8" w:space="0" w:color="0070C0"/>
              <w:right w:val="single" w:sz="8" w:space="0" w:color="0070C0"/>
            </w:tcBorders>
            <w:shd w:val="clear" w:color="auto" w:fill="auto"/>
            <w:noWrap/>
            <w:vAlign w:val="center"/>
            <w:hideMark/>
          </w:tcPr>
          <w:p w14:paraId="1DC62174" w14:textId="77777777" w:rsidR="005E72EC" w:rsidRPr="002C2316" w:rsidRDefault="005E72EC" w:rsidP="004F0D35">
            <w:pPr>
              <w:spacing w:after="0" w:line="240" w:lineRule="auto"/>
              <w:jc w:val="right"/>
              <w:rPr>
                <w:rFonts w:ascii="Trebuchet MS" w:eastAsia="Times New Roman" w:hAnsi="Trebuchet MS" w:cs="Arial"/>
                <w:color w:val="0070C0"/>
                <w:sz w:val="16"/>
                <w:szCs w:val="16"/>
                <w:lang w:eastAsia="en-GB"/>
              </w:rPr>
            </w:pPr>
            <w:r w:rsidRPr="002C2316">
              <w:rPr>
                <w:rFonts w:ascii="Trebuchet MS" w:eastAsia="Times New Roman" w:hAnsi="Trebuchet MS" w:cs="Arial"/>
                <w:color w:val="0070C0"/>
                <w:sz w:val="16"/>
                <w:szCs w:val="16"/>
                <w:lang w:eastAsia="en-GB"/>
              </w:rPr>
              <w:t>Total</w:t>
            </w:r>
          </w:p>
        </w:tc>
      </w:tr>
      <w:tr w:rsidR="005E72EC" w:rsidRPr="002C2316" w14:paraId="09F022F3" w14:textId="77777777" w:rsidTr="004F0D35">
        <w:trPr>
          <w:trHeight w:val="219"/>
        </w:trPr>
        <w:tc>
          <w:tcPr>
            <w:tcW w:w="1499" w:type="dxa"/>
            <w:tcBorders>
              <w:top w:val="single" w:sz="8" w:space="0" w:color="0070C0"/>
              <w:left w:val="single" w:sz="8" w:space="0" w:color="0070C0"/>
              <w:bottom w:val="single" w:sz="8" w:space="0" w:color="0070C0"/>
              <w:right w:val="single" w:sz="8" w:space="0" w:color="0070C0"/>
            </w:tcBorders>
            <w:shd w:val="clear" w:color="auto" w:fill="auto"/>
            <w:noWrap/>
            <w:vAlign w:val="center"/>
            <w:hideMark/>
          </w:tcPr>
          <w:p w14:paraId="320EA9B8" w14:textId="77777777" w:rsidR="005E72EC" w:rsidRPr="002C2316" w:rsidRDefault="005E72EC" w:rsidP="004F0D35">
            <w:pPr>
              <w:spacing w:after="0" w:line="240" w:lineRule="auto"/>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Claims Provision</w:t>
            </w:r>
          </w:p>
        </w:tc>
        <w:tc>
          <w:tcPr>
            <w:tcW w:w="812" w:type="dxa"/>
            <w:tcBorders>
              <w:top w:val="nil"/>
              <w:left w:val="nil"/>
              <w:bottom w:val="single" w:sz="8" w:space="0" w:color="0070C0"/>
              <w:right w:val="nil"/>
            </w:tcBorders>
            <w:shd w:val="clear" w:color="auto" w:fill="auto"/>
            <w:noWrap/>
            <w:vAlign w:val="center"/>
            <w:hideMark/>
          </w:tcPr>
          <w:p w14:paraId="7791BF79"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0</w:t>
            </w:r>
          </w:p>
        </w:tc>
        <w:tc>
          <w:tcPr>
            <w:tcW w:w="1055" w:type="dxa"/>
            <w:tcBorders>
              <w:top w:val="nil"/>
              <w:left w:val="nil"/>
              <w:bottom w:val="single" w:sz="8" w:space="0" w:color="0070C0"/>
              <w:right w:val="nil"/>
            </w:tcBorders>
            <w:shd w:val="clear" w:color="auto" w:fill="auto"/>
            <w:noWrap/>
            <w:vAlign w:val="center"/>
            <w:hideMark/>
          </w:tcPr>
          <w:p w14:paraId="2D6B77AC"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0</w:t>
            </w:r>
          </w:p>
        </w:tc>
        <w:tc>
          <w:tcPr>
            <w:tcW w:w="922" w:type="dxa"/>
            <w:tcBorders>
              <w:top w:val="nil"/>
              <w:left w:val="nil"/>
              <w:bottom w:val="single" w:sz="8" w:space="0" w:color="0070C0"/>
              <w:right w:val="nil"/>
            </w:tcBorders>
            <w:shd w:val="clear" w:color="auto" w:fill="auto"/>
            <w:noWrap/>
            <w:vAlign w:val="center"/>
            <w:hideMark/>
          </w:tcPr>
          <w:p w14:paraId="0EDADEEC"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0</w:t>
            </w:r>
          </w:p>
        </w:tc>
        <w:tc>
          <w:tcPr>
            <w:tcW w:w="812" w:type="dxa"/>
            <w:tcBorders>
              <w:top w:val="nil"/>
              <w:left w:val="nil"/>
              <w:bottom w:val="single" w:sz="8" w:space="0" w:color="0070C0"/>
              <w:right w:val="nil"/>
            </w:tcBorders>
            <w:shd w:val="clear" w:color="auto" w:fill="auto"/>
            <w:noWrap/>
            <w:vAlign w:val="center"/>
            <w:hideMark/>
          </w:tcPr>
          <w:p w14:paraId="7DA6CA9D"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0</w:t>
            </w:r>
          </w:p>
        </w:tc>
        <w:tc>
          <w:tcPr>
            <w:tcW w:w="807" w:type="dxa"/>
            <w:tcBorders>
              <w:top w:val="nil"/>
              <w:left w:val="single" w:sz="8" w:space="0" w:color="0070C0"/>
              <w:bottom w:val="single" w:sz="8" w:space="0" w:color="0070C0"/>
              <w:right w:val="single" w:sz="8" w:space="0" w:color="0070C0"/>
            </w:tcBorders>
            <w:shd w:val="clear" w:color="auto" w:fill="auto"/>
            <w:noWrap/>
            <w:vAlign w:val="center"/>
            <w:hideMark/>
          </w:tcPr>
          <w:p w14:paraId="02B7E2CC"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0</w:t>
            </w:r>
          </w:p>
        </w:tc>
        <w:tc>
          <w:tcPr>
            <w:tcW w:w="812" w:type="dxa"/>
            <w:tcBorders>
              <w:top w:val="nil"/>
              <w:left w:val="nil"/>
              <w:bottom w:val="single" w:sz="8" w:space="0" w:color="0070C0"/>
              <w:right w:val="nil"/>
            </w:tcBorders>
            <w:shd w:val="clear" w:color="auto" w:fill="auto"/>
            <w:noWrap/>
            <w:vAlign w:val="center"/>
            <w:hideMark/>
          </w:tcPr>
          <w:p w14:paraId="63846607"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0</w:t>
            </w:r>
          </w:p>
        </w:tc>
        <w:tc>
          <w:tcPr>
            <w:tcW w:w="1055" w:type="dxa"/>
            <w:tcBorders>
              <w:top w:val="nil"/>
              <w:left w:val="nil"/>
              <w:bottom w:val="single" w:sz="8" w:space="0" w:color="0070C0"/>
              <w:right w:val="nil"/>
            </w:tcBorders>
            <w:shd w:val="clear" w:color="auto" w:fill="auto"/>
            <w:noWrap/>
            <w:vAlign w:val="center"/>
            <w:hideMark/>
          </w:tcPr>
          <w:p w14:paraId="694B040B"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0</w:t>
            </w:r>
          </w:p>
        </w:tc>
        <w:tc>
          <w:tcPr>
            <w:tcW w:w="835" w:type="dxa"/>
            <w:tcBorders>
              <w:top w:val="nil"/>
              <w:left w:val="nil"/>
              <w:bottom w:val="single" w:sz="8" w:space="0" w:color="0070C0"/>
              <w:right w:val="nil"/>
            </w:tcBorders>
            <w:shd w:val="clear" w:color="auto" w:fill="auto"/>
            <w:noWrap/>
            <w:vAlign w:val="center"/>
            <w:hideMark/>
          </w:tcPr>
          <w:p w14:paraId="7DE7013E"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0</w:t>
            </w:r>
          </w:p>
        </w:tc>
        <w:tc>
          <w:tcPr>
            <w:tcW w:w="807" w:type="dxa"/>
            <w:tcBorders>
              <w:top w:val="nil"/>
              <w:left w:val="nil"/>
              <w:bottom w:val="single" w:sz="8" w:space="0" w:color="0070C0"/>
              <w:right w:val="nil"/>
            </w:tcBorders>
            <w:shd w:val="clear" w:color="auto" w:fill="auto"/>
            <w:noWrap/>
            <w:vAlign w:val="center"/>
            <w:hideMark/>
          </w:tcPr>
          <w:p w14:paraId="2227B344"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36,725</w:t>
            </w:r>
          </w:p>
        </w:tc>
        <w:tc>
          <w:tcPr>
            <w:tcW w:w="807" w:type="dxa"/>
            <w:tcBorders>
              <w:top w:val="nil"/>
              <w:left w:val="single" w:sz="8" w:space="0" w:color="0070C0"/>
              <w:bottom w:val="single" w:sz="8" w:space="0" w:color="0070C0"/>
              <w:right w:val="single" w:sz="8" w:space="0" w:color="0070C0"/>
            </w:tcBorders>
            <w:shd w:val="clear" w:color="auto" w:fill="auto"/>
            <w:noWrap/>
            <w:vAlign w:val="center"/>
            <w:hideMark/>
          </w:tcPr>
          <w:p w14:paraId="68150866"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36,725</w:t>
            </w:r>
          </w:p>
        </w:tc>
      </w:tr>
      <w:tr w:rsidR="005E72EC" w:rsidRPr="002C2316" w14:paraId="5D2DA479" w14:textId="77777777" w:rsidTr="004F0D35">
        <w:trPr>
          <w:trHeight w:val="219"/>
        </w:trPr>
        <w:tc>
          <w:tcPr>
            <w:tcW w:w="1499" w:type="dxa"/>
            <w:tcBorders>
              <w:top w:val="nil"/>
              <w:left w:val="single" w:sz="8" w:space="0" w:color="0070C0"/>
              <w:bottom w:val="single" w:sz="8" w:space="0" w:color="0070C0"/>
              <w:right w:val="single" w:sz="8" w:space="0" w:color="0070C0"/>
            </w:tcBorders>
            <w:shd w:val="clear" w:color="auto" w:fill="auto"/>
            <w:noWrap/>
            <w:vAlign w:val="center"/>
            <w:hideMark/>
          </w:tcPr>
          <w:p w14:paraId="5C797B59" w14:textId="77777777" w:rsidR="005E72EC" w:rsidRPr="002C2316" w:rsidRDefault="005E72EC" w:rsidP="004F0D35">
            <w:pPr>
              <w:spacing w:after="0" w:line="240" w:lineRule="auto"/>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Premium Provision</w:t>
            </w:r>
          </w:p>
        </w:tc>
        <w:tc>
          <w:tcPr>
            <w:tcW w:w="812" w:type="dxa"/>
            <w:tcBorders>
              <w:top w:val="nil"/>
              <w:left w:val="nil"/>
              <w:bottom w:val="single" w:sz="8" w:space="0" w:color="0070C0"/>
              <w:right w:val="nil"/>
            </w:tcBorders>
            <w:shd w:val="clear" w:color="auto" w:fill="auto"/>
            <w:noWrap/>
            <w:vAlign w:val="center"/>
            <w:hideMark/>
          </w:tcPr>
          <w:p w14:paraId="3B7DF294"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0</w:t>
            </w:r>
          </w:p>
        </w:tc>
        <w:tc>
          <w:tcPr>
            <w:tcW w:w="1055" w:type="dxa"/>
            <w:tcBorders>
              <w:top w:val="nil"/>
              <w:left w:val="nil"/>
              <w:bottom w:val="single" w:sz="8" w:space="0" w:color="0070C0"/>
              <w:right w:val="nil"/>
            </w:tcBorders>
            <w:shd w:val="clear" w:color="auto" w:fill="auto"/>
            <w:noWrap/>
            <w:vAlign w:val="center"/>
            <w:hideMark/>
          </w:tcPr>
          <w:p w14:paraId="69CFEB29"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0</w:t>
            </w:r>
          </w:p>
        </w:tc>
        <w:tc>
          <w:tcPr>
            <w:tcW w:w="922" w:type="dxa"/>
            <w:tcBorders>
              <w:top w:val="nil"/>
              <w:left w:val="nil"/>
              <w:bottom w:val="single" w:sz="8" w:space="0" w:color="0070C0"/>
              <w:right w:val="nil"/>
            </w:tcBorders>
            <w:shd w:val="clear" w:color="auto" w:fill="auto"/>
            <w:noWrap/>
            <w:vAlign w:val="center"/>
            <w:hideMark/>
          </w:tcPr>
          <w:p w14:paraId="687D641A"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0</w:t>
            </w:r>
          </w:p>
        </w:tc>
        <w:tc>
          <w:tcPr>
            <w:tcW w:w="812" w:type="dxa"/>
            <w:tcBorders>
              <w:top w:val="nil"/>
              <w:left w:val="nil"/>
              <w:bottom w:val="single" w:sz="8" w:space="0" w:color="0070C0"/>
              <w:right w:val="nil"/>
            </w:tcBorders>
            <w:shd w:val="clear" w:color="auto" w:fill="auto"/>
            <w:noWrap/>
            <w:vAlign w:val="center"/>
            <w:hideMark/>
          </w:tcPr>
          <w:p w14:paraId="2D761BFA"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0</w:t>
            </w:r>
          </w:p>
        </w:tc>
        <w:tc>
          <w:tcPr>
            <w:tcW w:w="807" w:type="dxa"/>
            <w:tcBorders>
              <w:top w:val="nil"/>
              <w:left w:val="single" w:sz="8" w:space="0" w:color="0070C0"/>
              <w:bottom w:val="single" w:sz="8" w:space="0" w:color="0070C0"/>
              <w:right w:val="single" w:sz="8" w:space="0" w:color="0070C0"/>
            </w:tcBorders>
            <w:shd w:val="clear" w:color="auto" w:fill="auto"/>
            <w:noWrap/>
            <w:vAlign w:val="center"/>
            <w:hideMark/>
          </w:tcPr>
          <w:p w14:paraId="271C1A31"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0</w:t>
            </w:r>
          </w:p>
        </w:tc>
        <w:tc>
          <w:tcPr>
            <w:tcW w:w="812" w:type="dxa"/>
            <w:tcBorders>
              <w:top w:val="nil"/>
              <w:left w:val="nil"/>
              <w:bottom w:val="single" w:sz="8" w:space="0" w:color="0070C0"/>
              <w:right w:val="nil"/>
            </w:tcBorders>
            <w:shd w:val="clear" w:color="auto" w:fill="auto"/>
            <w:noWrap/>
            <w:vAlign w:val="center"/>
            <w:hideMark/>
          </w:tcPr>
          <w:p w14:paraId="7C259181"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0</w:t>
            </w:r>
          </w:p>
        </w:tc>
        <w:tc>
          <w:tcPr>
            <w:tcW w:w="1055" w:type="dxa"/>
            <w:tcBorders>
              <w:top w:val="nil"/>
              <w:left w:val="nil"/>
              <w:bottom w:val="single" w:sz="8" w:space="0" w:color="0070C0"/>
              <w:right w:val="nil"/>
            </w:tcBorders>
            <w:shd w:val="clear" w:color="auto" w:fill="auto"/>
            <w:noWrap/>
            <w:vAlign w:val="center"/>
            <w:hideMark/>
          </w:tcPr>
          <w:p w14:paraId="484BFB8C"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0</w:t>
            </w:r>
          </w:p>
        </w:tc>
        <w:tc>
          <w:tcPr>
            <w:tcW w:w="835" w:type="dxa"/>
            <w:tcBorders>
              <w:top w:val="nil"/>
              <w:left w:val="nil"/>
              <w:bottom w:val="single" w:sz="8" w:space="0" w:color="0070C0"/>
              <w:right w:val="nil"/>
            </w:tcBorders>
            <w:shd w:val="clear" w:color="auto" w:fill="auto"/>
            <w:noWrap/>
            <w:vAlign w:val="center"/>
            <w:hideMark/>
          </w:tcPr>
          <w:p w14:paraId="25FE031A"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0</w:t>
            </w:r>
          </w:p>
        </w:tc>
        <w:tc>
          <w:tcPr>
            <w:tcW w:w="807" w:type="dxa"/>
            <w:tcBorders>
              <w:top w:val="nil"/>
              <w:left w:val="nil"/>
              <w:bottom w:val="single" w:sz="8" w:space="0" w:color="0070C0"/>
              <w:right w:val="nil"/>
            </w:tcBorders>
            <w:shd w:val="clear" w:color="auto" w:fill="auto"/>
            <w:noWrap/>
            <w:vAlign w:val="center"/>
            <w:hideMark/>
          </w:tcPr>
          <w:p w14:paraId="1CC9BCBC"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47,821</w:t>
            </w:r>
          </w:p>
        </w:tc>
        <w:tc>
          <w:tcPr>
            <w:tcW w:w="807" w:type="dxa"/>
            <w:tcBorders>
              <w:top w:val="nil"/>
              <w:left w:val="single" w:sz="8" w:space="0" w:color="0070C0"/>
              <w:bottom w:val="single" w:sz="8" w:space="0" w:color="0070C0"/>
              <w:right w:val="single" w:sz="8" w:space="0" w:color="0070C0"/>
            </w:tcBorders>
            <w:shd w:val="clear" w:color="auto" w:fill="auto"/>
            <w:noWrap/>
            <w:vAlign w:val="center"/>
            <w:hideMark/>
          </w:tcPr>
          <w:p w14:paraId="025A4C4C"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47,821</w:t>
            </w:r>
          </w:p>
        </w:tc>
      </w:tr>
      <w:tr w:rsidR="005E72EC" w:rsidRPr="002C2316" w14:paraId="6F0DE107" w14:textId="77777777" w:rsidTr="004F0D35">
        <w:trPr>
          <w:trHeight w:val="219"/>
        </w:trPr>
        <w:tc>
          <w:tcPr>
            <w:tcW w:w="1499" w:type="dxa"/>
            <w:tcBorders>
              <w:top w:val="nil"/>
              <w:left w:val="single" w:sz="8" w:space="0" w:color="0070C0"/>
              <w:bottom w:val="single" w:sz="8" w:space="0" w:color="0070C0"/>
              <w:right w:val="single" w:sz="8" w:space="0" w:color="0070C0"/>
            </w:tcBorders>
            <w:shd w:val="clear" w:color="auto" w:fill="auto"/>
            <w:noWrap/>
            <w:vAlign w:val="center"/>
            <w:hideMark/>
          </w:tcPr>
          <w:p w14:paraId="3B0B9DE3" w14:textId="77777777" w:rsidR="005E72EC" w:rsidRPr="002C2316" w:rsidRDefault="005E72EC" w:rsidP="004F0D35">
            <w:pPr>
              <w:spacing w:after="0" w:line="240" w:lineRule="auto"/>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Total</w:t>
            </w:r>
          </w:p>
        </w:tc>
        <w:tc>
          <w:tcPr>
            <w:tcW w:w="812" w:type="dxa"/>
            <w:tcBorders>
              <w:top w:val="nil"/>
              <w:left w:val="nil"/>
              <w:bottom w:val="single" w:sz="8" w:space="0" w:color="0070C0"/>
              <w:right w:val="nil"/>
            </w:tcBorders>
            <w:shd w:val="clear" w:color="auto" w:fill="auto"/>
            <w:noWrap/>
            <w:vAlign w:val="center"/>
            <w:hideMark/>
          </w:tcPr>
          <w:p w14:paraId="47B4D579"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0</w:t>
            </w:r>
          </w:p>
        </w:tc>
        <w:tc>
          <w:tcPr>
            <w:tcW w:w="1055" w:type="dxa"/>
            <w:tcBorders>
              <w:top w:val="nil"/>
              <w:left w:val="nil"/>
              <w:bottom w:val="single" w:sz="8" w:space="0" w:color="0070C0"/>
              <w:right w:val="nil"/>
            </w:tcBorders>
            <w:shd w:val="clear" w:color="auto" w:fill="auto"/>
            <w:noWrap/>
            <w:vAlign w:val="center"/>
            <w:hideMark/>
          </w:tcPr>
          <w:p w14:paraId="7F6E4BC9"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0</w:t>
            </w:r>
          </w:p>
        </w:tc>
        <w:tc>
          <w:tcPr>
            <w:tcW w:w="922" w:type="dxa"/>
            <w:tcBorders>
              <w:top w:val="nil"/>
              <w:left w:val="nil"/>
              <w:bottom w:val="single" w:sz="8" w:space="0" w:color="0070C0"/>
              <w:right w:val="nil"/>
            </w:tcBorders>
            <w:shd w:val="clear" w:color="auto" w:fill="auto"/>
            <w:noWrap/>
            <w:vAlign w:val="center"/>
            <w:hideMark/>
          </w:tcPr>
          <w:p w14:paraId="455E4D23"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0</w:t>
            </w:r>
          </w:p>
        </w:tc>
        <w:tc>
          <w:tcPr>
            <w:tcW w:w="812" w:type="dxa"/>
            <w:tcBorders>
              <w:top w:val="nil"/>
              <w:left w:val="nil"/>
              <w:bottom w:val="single" w:sz="8" w:space="0" w:color="0070C0"/>
              <w:right w:val="nil"/>
            </w:tcBorders>
            <w:shd w:val="clear" w:color="auto" w:fill="auto"/>
            <w:noWrap/>
            <w:vAlign w:val="center"/>
            <w:hideMark/>
          </w:tcPr>
          <w:p w14:paraId="4DC21FF1"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0</w:t>
            </w:r>
          </w:p>
        </w:tc>
        <w:tc>
          <w:tcPr>
            <w:tcW w:w="807" w:type="dxa"/>
            <w:tcBorders>
              <w:top w:val="nil"/>
              <w:left w:val="single" w:sz="8" w:space="0" w:color="0070C0"/>
              <w:bottom w:val="single" w:sz="8" w:space="0" w:color="0070C0"/>
              <w:right w:val="single" w:sz="8" w:space="0" w:color="0070C0"/>
            </w:tcBorders>
            <w:shd w:val="clear" w:color="auto" w:fill="auto"/>
            <w:noWrap/>
            <w:vAlign w:val="center"/>
            <w:hideMark/>
          </w:tcPr>
          <w:p w14:paraId="2B502D6E"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0</w:t>
            </w:r>
          </w:p>
        </w:tc>
        <w:tc>
          <w:tcPr>
            <w:tcW w:w="812" w:type="dxa"/>
            <w:tcBorders>
              <w:top w:val="nil"/>
              <w:left w:val="nil"/>
              <w:bottom w:val="single" w:sz="8" w:space="0" w:color="0070C0"/>
              <w:right w:val="nil"/>
            </w:tcBorders>
            <w:shd w:val="clear" w:color="auto" w:fill="auto"/>
            <w:noWrap/>
            <w:vAlign w:val="center"/>
            <w:hideMark/>
          </w:tcPr>
          <w:p w14:paraId="3DEB9660"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0</w:t>
            </w:r>
          </w:p>
        </w:tc>
        <w:tc>
          <w:tcPr>
            <w:tcW w:w="1055" w:type="dxa"/>
            <w:tcBorders>
              <w:top w:val="nil"/>
              <w:left w:val="nil"/>
              <w:bottom w:val="single" w:sz="8" w:space="0" w:color="0070C0"/>
              <w:right w:val="nil"/>
            </w:tcBorders>
            <w:shd w:val="clear" w:color="auto" w:fill="auto"/>
            <w:noWrap/>
            <w:vAlign w:val="center"/>
            <w:hideMark/>
          </w:tcPr>
          <w:p w14:paraId="11F4AA4F"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0</w:t>
            </w:r>
          </w:p>
        </w:tc>
        <w:tc>
          <w:tcPr>
            <w:tcW w:w="835" w:type="dxa"/>
            <w:tcBorders>
              <w:top w:val="nil"/>
              <w:left w:val="nil"/>
              <w:bottom w:val="single" w:sz="8" w:space="0" w:color="0070C0"/>
              <w:right w:val="nil"/>
            </w:tcBorders>
            <w:shd w:val="clear" w:color="auto" w:fill="auto"/>
            <w:noWrap/>
            <w:vAlign w:val="center"/>
            <w:hideMark/>
          </w:tcPr>
          <w:p w14:paraId="72364C79"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0</w:t>
            </w:r>
          </w:p>
        </w:tc>
        <w:tc>
          <w:tcPr>
            <w:tcW w:w="807" w:type="dxa"/>
            <w:tcBorders>
              <w:top w:val="nil"/>
              <w:left w:val="nil"/>
              <w:bottom w:val="single" w:sz="8" w:space="0" w:color="0070C0"/>
              <w:right w:val="nil"/>
            </w:tcBorders>
            <w:shd w:val="clear" w:color="auto" w:fill="auto"/>
            <w:noWrap/>
            <w:vAlign w:val="center"/>
            <w:hideMark/>
          </w:tcPr>
          <w:p w14:paraId="2820AB81"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84,546</w:t>
            </w:r>
          </w:p>
        </w:tc>
        <w:tc>
          <w:tcPr>
            <w:tcW w:w="807" w:type="dxa"/>
            <w:tcBorders>
              <w:top w:val="nil"/>
              <w:left w:val="single" w:sz="8" w:space="0" w:color="0070C0"/>
              <w:bottom w:val="single" w:sz="8" w:space="0" w:color="0070C0"/>
              <w:right w:val="single" w:sz="8" w:space="0" w:color="0070C0"/>
            </w:tcBorders>
            <w:shd w:val="clear" w:color="auto" w:fill="auto"/>
            <w:noWrap/>
            <w:vAlign w:val="center"/>
            <w:hideMark/>
          </w:tcPr>
          <w:p w14:paraId="08603CEC"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84,546</w:t>
            </w:r>
          </w:p>
        </w:tc>
      </w:tr>
    </w:tbl>
    <w:p w14:paraId="555932C5" w14:textId="084F29BA" w:rsidR="005E72EC" w:rsidRDefault="005E72EC" w:rsidP="005E72EC">
      <w:pPr>
        <w:rPr>
          <w:rFonts w:ascii="Trebuchet MS" w:hAnsi="Trebuchet MS"/>
          <w:sz w:val="20"/>
          <w:szCs w:val="20"/>
          <w:lang w:val="en-US"/>
        </w:rPr>
      </w:pPr>
    </w:p>
    <w:p w14:paraId="06A3BFB6" w14:textId="3DE160AA" w:rsidR="00B34672" w:rsidRDefault="00B34672" w:rsidP="005E72EC">
      <w:pPr>
        <w:rPr>
          <w:rFonts w:ascii="Trebuchet MS" w:hAnsi="Trebuchet MS"/>
          <w:sz w:val="20"/>
          <w:szCs w:val="20"/>
          <w:lang w:val="en-US"/>
        </w:rPr>
      </w:pPr>
      <w:r>
        <w:rPr>
          <w:rFonts w:ascii="Trebuchet MS" w:hAnsi="Trebuchet MS"/>
          <w:sz w:val="20"/>
          <w:szCs w:val="20"/>
          <w:lang w:val="en-US"/>
        </w:rPr>
        <w:t xml:space="preserve">Note that the gross </w:t>
      </w:r>
      <w:proofErr w:type="spellStart"/>
      <w:r>
        <w:rPr>
          <w:rFonts w:ascii="Trebuchet MS" w:hAnsi="Trebuchet MS"/>
          <w:sz w:val="20"/>
          <w:szCs w:val="20"/>
          <w:lang w:val="en-US"/>
        </w:rPr>
        <w:t>TPs</w:t>
      </w:r>
      <w:proofErr w:type="spellEnd"/>
      <w:r>
        <w:rPr>
          <w:rFonts w:ascii="Trebuchet MS" w:hAnsi="Trebuchet MS"/>
          <w:sz w:val="20"/>
          <w:szCs w:val="20"/>
          <w:lang w:val="en-US"/>
        </w:rPr>
        <w:t xml:space="preserve"> of AEI post Scheme in the table above is £84.</w:t>
      </w:r>
      <w:r w:rsidR="00287E7E">
        <w:rPr>
          <w:rFonts w:ascii="Trebuchet MS" w:hAnsi="Trebuchet MS"/>
          <w:sz w:val="20"/>
          <w:szCs w:val="20"/>
          <w:lang w:val="en-US"/>
        </w:rPr>
        <w:t>5</w:t>
      </w:r>
      <w:r>
        <w:rPr>
          <w:rFonts w:ascii="Trebuchet MS" w:hAnsi="Trebuchet MS"/>
          <w:sz w:val="20"/>
          <w:szCs w:val="20"/>
          <w:lang w:val="en-US"/>
        </w:rPr>
        <w:t>m and it does not include the methodological adjustment of £3.5</w:t>
      </w:r>
      <w:r w:rsidR="00287E7E">
        <w:rPr>
          <w:rFonts w:ascii="Trebuchet MS" w:hAnsi="Trebuchet MS"/>
          <w:sz w:val="20"/>
          <w:szCs w:val="20"/>
          <w:lang w:val="en-US"/>
        </w:rPr>
        <w:t>m</w:t>
      </w:r>
      <w:r>
        <w:rPr>
          <w:rFonts w:ascii="Trebuchet MS" w:hAnsi="Trebuchet MS"/>
          <w:sz w:val="20"/>
          <w:szCs w:val="20"/>
          <w:lang w:val="en-US"/>
        </w:rPr>
        <w:t xml:space="preserve"> as presented in the balance sheet of AEI in section 4.2.1.</w:t>
      </w:r>
    </w:p>
    <w:tbl>
      <w:tblPr>
        <w:tblW w:w="10378" w:type="dxa"/>
        <w:tblLook w:val="04A0" w:firstRow="1" w:lastRow="0" w:firstColumn="1" w:lastColumn="0" w:noHBand="0" w:noVBand="1"/>
      </w:tblPr>
      <w:tblGrid>
        <w:gridCol w:w="1485"/>
        <w:gridCol w:w="728"/>
        <w:gridCol w:w="1055"/>
        <w:gridCol w:w="751"/>
        <w:gridCol w:w="728"/>
        <w:gridCol w:w="726"/>
        <w:gridCol w:w="1055"/>
        <w:gridCol w:w="1055"/>
        <w:gridCol w:w="751"/>
        <w:gridCol w:w="696"/>
        <w:gridCol w:w="1348"/>
      </w:tblGrid>
      <w:tr w:rsidR="005E72EC" w:rsidRPr="002C2316" w14:paraId="362A5BA1" w14:textId="77777777" w:rsidTr="00485908">
        <w:trPr>
          <w:trHeight w:val="222"/>
        </w:trPr>
        <w:tc>
          <w:tcPr>
            <w:tcW w:w="2213" w:type="dxa"/>
            <w:gridSpan w:val="2"/>
            <w:tcBorders>
              <w:top w:val="nil"/>
              <w:left w:val="nil"/>
              <w:bottom w:val="nil"/>
              <w:right w:val="nil"/>
            </w:tcBorders>
            <w:shd w:val="clear" w:color="auto" w:fill="auto"/>
            <w:noWrap/>
            <w:vAlign w:val="bottom"/>
            <w:hideMark/>
          </w:tcPr>
          <w:p w14:paraId="59FD97DE" w14:textId="77777777" w:rsidR="005E72EC" w:rsidRPr="002C2316" w:rsidRDefault="005E72EC" w:rsidP="004F0D35">
            <w:pPr>
              <w:spacing w:after="0" w:line="240" w:lineRule="auto"/>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 xml:space="preserve">Ceded RI </w:t>
            </w:r>
            <w:proofErr w:type="spellStart"/>
            <w:r w:rsidRPr="002C2316">
              <w:rPr>
                <w:rFonts w:ascii="Trebuchet MS" w:eastAsia="Times New Roman" w:hAnsi="Trebuchet MS" w:cs="Arial"/>
                <w:color w:val="000000"/>
                <w:sz w:val="16"/>
                <w:szCs w:val="16"/>
                <w:lang w:eastAsia="en-GB"/>
              </w:rPr>
              <w:t>TPs</w:t>
            </w:r>
            <w:proofErr w:type="spellEnd"/>
            <w:r w:rsidRPr="002C2316">
              <w:rPr>
                <w:rFonts w:ascii="Trebuchet MS" w:eastAsia="Times New Roman" w:hAnsi="Trebuchet MS" w:cs="Arial"/>
                <w:color w:val="000000"/>
                <w:sz w:val="16"/>
                <w:szCs w:val="16"/>
                <w:lang w:eastAsia="en-GB"/>
              </w:rPr>
              <w:t xml:space="preserve"> £000s</w:t>
            </w:r>
          </w:p>
        </w:tc>
        <w:tc>
          <w:tcPr>
            <w:tcW w:w="1055" w:type="dxa"/>
            <w:tcBorders>
              <w:top w:val="nil"/>
              <w:left w:val="nil"/>
              <w:bottom w:val="nil"/>
              <w:right w:val="nil"/>
            </w:tcBorders>
            <w:shd w:val="clear" w:color="auto" w:fill="auto"/>
            <w:noWrap/>
            <w:vAlign w:val="bottom"/>
            <w:hideMark/>
          </w:tcPr>
          <w:p w14:paraId="70B80A7E" w14:textId="77777777" w:rsidR="005E72EC" w:rsidRPr="002C2316" w:rsidRDefault="005E72EC" w:rsidP="004F0D35">
            <w:pPr>
              <w:spacing w:after="0" w:line="240" w:lineRule="auto"/>
              <w:rPr>
                <w:rFonts w:ascii="Trebuchet MS" w:eastAsia="Times New Roman" w:hAnsi="Trebuchet MS" w:cs="Arial"/>
                <w:color w:val="000000"/>
                <w:sz w:val="16"/>
                <w:szCs w:val="16"/>
                <w:lang w:eastAsia="en-GB"/>
              </w:rPr>
            </w:pPr>
          </w:p>
        </w:tc>
        <w:tc>
          <w:tcPr>
            <w:tcW w:w="751" w:type="dxa"/>
            <w:tcBorders>
              <w:top w:val="nil"/>
              <w:left w:val="nil"/>
              <w:bottom w:val="nil"/>
              <w:right w:val="nil"/>
            </w:tcBorders>
            <w:shd w:val="clear" w:color="auto" w:fill="auto"/>
            <w:noWrap/>
            <w:vAlign w:val="bottom"/>
            <w:hideMark/>
          </w:tcPr>
          <w:p w14:paraId="5F7784B9"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c>
          <w:tcPr>
            <w:tcW w:w="728" w:type="dxa"/>
            <w:tcBorders>
              <w:top w:val="nil"/>
              <w:left w:val="nil"/>
              <w:bottom w:val="nil"/>
              <w:right w:val="nil"/>
            </w:tcBorders>
            <w:shd w:val="clear" w:color="auto" w:fill="auto"/>
            <w:noWrap/>
            <w:vAlign w:val="bottom"/>
            <w:hideMark/>
          </w:tcPr>
          <w:p w14:paraId="072B9E47"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c>
          <w:tcPr>
            <w:tcW w:w="726" w:type="dxa"/>
            <w:tcBorders>
              <w:top w:val="nil"/>
              <w:left w:val="nil"/>
              <w:bottom w:val="nil"/>
              <w:right w:val="nil"/>
            </w:tcBorders>
            <w:shd w:val="clear" w:color="auto" w:fill="auto"/>
            <w:noWrap/>
            <w:vAlign w:val="bottom"/>
            <w:hideMark/>
          </w:tcPr>
          <w:p w14:paraId="2F63C0F1"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c>
          <w:tcPr>
            <w:tcW w:w="1055" w:type="dxa"/>
            <w:tcBorders>
              <w:top w:val="nil"/>
              <w:left w:val="nil"/>
              <w:bottom w:val="nil"/>
              <w:right w:val="nil"/>
            </w:tcBorders>
            <w:shd w:val="clear" w:color="auto" w:fill="auto"/>
            <w:noWrap/>
            <w:vAlign w:val="bottom"/>
            <w:hideMark/>
          </w:tcPr>
          <w:p w14:paraId="20EDAB67"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c>
          <w:tcPr>
            <w:tcW w:w="1055" w:type="dxa"/>
            <w:tcBorders>
              <w:top w:val="nil"/>
              <w:left w:val="nil"/>
              <w:bottom w:val="nil"/>
              <w:right w:val="nil"/>
            </w:tcBorders>
            <w:shd w:val="clear" w:color="auto" w:fill="auto"/>
            <w:noWrap/>
            <w:vAlign w:val="bottom"/>
            <w:hideMark/>
          </w:tcPr>
          <w:p w14:paraId="58D55DB1"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c>
          <w:tcPr>
            <w:tcW w:w="751" w:type="dxa"/>
            <w:tcBorders>
              <w:top w:val="nil"/>
              <w:left w:val="nil"/>
              <w:bottom w:val="nil"/>
              <w:right w:val="nil"/>
            </w:tcBorders>
            <w:shd w:val="clear" w:color="auto" w:fill="auto"/>
            <w:noWrap/>
            <w:vAlign w:val="bottom"/>
            <w:hideMark/>
          </w:tcPr>
          <w:p w14:paraId="0C782FE3"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c>
          <w:tcPr>
            <w:tcW w:w="696" w:type="dxa"/>
            <w:tcBorders>
              <w:top w:val="nil"/>
              <w:left w:val="nil"/>
              <w:bottom w:val="nil"/>
              <w:right w:val="nil"/>
            </w:tcBorders>
            <w:shd w:val="clear" w:color="auto" w:fill="auto"/>
            <w:noWrap/>
            <w:vAlign w:val="bottom"/>
            <w:hideMark/>
          </w:tcPr>
          <w:p w14:paraId="79D1D01C"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c>
          <w:tcPr>
            <w:tcW w:w="1348" w:type="dxa"/>
            <w:tcBorders>
              <w:top w:val="nil"/>
              <w:left w:val="nil"/>
              <w:bottom w:val="nil"/>
              <w:right w:val="nil"/>
            </w:tcBorders>
            <w:shd w:val="clear" w:color="auto" w:fill="auto"/>
            <w:noWrap/>
            <w:vAlign w:val="bottom"/>
            <w:hideMark/>
          </w:tcPr>
          <w:p w14:paraId="0129A84E"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r>
      <w:tr w:rsidR="005E72EC" w:rsidRPr="002C2316" w14:paraId="76050589" w14:textId="77777777" w:rsidTr="00485908">
        <w:trPr>
          <w:trHeight w:val="241"/>
        </w:trPr>
        <w:tc>
          <w:tcPr>
            <w:tcW w:w="1485" w:type="dxa"/>
            <w:tcBorders>
              <w:top w:val="nil"/>
              <w:left w:val="nil"/>
              <w:bottom w:val="nil"/>
              <w:right w:val="nil"/>
            </w:tcBorders>
            <w:shd w:val="clear" w:color="auto" w:fill="auto"/>
            <w:noWrap/>
            <w:vAlign w:val="bottom"/>
            <w:hideMark/>
          </w:tcPr>
          <w:p w14:paraId="1209F82C"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c>
          <w:tcPr>
            <w:tcW w:w="2534" w:type="dxa"/>
            <w:gridSpan w:val="3"/>
            <w:tcBorders>
              <w:top w:val="single" w:sz="8" w:space="0" w:color="0070C0"/>
              <w:left w:val="single" w:sz="8" w:space="0" w:color="0070C0"/>
              <w:bottom w:val="single" w:sz="8" w:space="0" w:color="0070C0"/>
              <w:right w:val="single" w:sz="8" w:space="0" w:color="0070C0"/>
            </w:tcBorders>
            <w:shd w:val="clear" w:color="auto" w:fill="auto"/>
            <w:noWrap/>
            <w:vAlign w:val="center"/>
            <w:hideMark/>
          </w:tcPr>
          <w:p w14:paraId="23827645" w14:textId="77777777" w:rsidR="005E72EC" w:rsidRPr="006C303A" w:rsidRDefault="005E72EC" w:rsidP="004F0D35">
            <w:pPr>
              <w:spacing w:after="0" w:line="240" w:lineRule="auto"/>
              <w:jc w:val="center"/>
              <w:rPr>
                <w:rFonts w:ascii="Trebuchet MS" w:eastAsia="Times New Roman" w:hAnsi="Trebuchet MS" w:cs="Arial"/>
                <w:b/>
                <w:bCs/>
                <w:color w:val="0070C0"/>
                <w:sz w:val="16"/>
                <w:szCs w:val="16"/>
                <w:lang w:eastAsia="en-GB"/>
              </w:rPr>
            </w:pPr>
            <w:r w:rsidRPr="006C303A">
              <w:rPr>
                <w:rFonts w:ascii="Trebuchet MS" w:eastAsia="Times New Roman" w:hAnsi="Trebuchet MS" w:cs="Arial"/>
                <w:b/>
                <w:bCs/>
                <w:color w:val="0070C0"/>
                <w:sz w:val="16"/>
                <w:szCs w:val="16"/>
                <w:lang w:eastAsia="en-GB"/>
              </w:rPr>
              <w:t>Before Scheme</w:t>
            </w:r>
          </w:p>
        </w:tc>
        <w:tc>
          <w:tcPr>
            <w:tcW w:w="2509" w:type="dxa"/>
            <w:gridSpan w:val="3"/>
            <w:tcBorders>
              <w:top w:val="single" w:sz="8" w:space="0" w:color="0070C0"/>
              <w:left w:val="nil"/>
              <w:bottom w:val="single" w:sz="8" w:space="0" w:color="0070C0"/>
              <w:right w:val="single" w:sz="8" w:space="0" w:color="0070C0"/>
            </w:tcBorders>
            <w:shd w:val="clear" w:color="auto" w:fill="auto"/>
            <w:noWrap/>
            <w:vAlign w:val="center"/>
            <w:hideMark/>
          </w:tcPr>
          <w:p w14:paraId="5EFFF714" w14:textId="77777777" w:rsidR="005E72EC" w:rsidRPr="006C303A" w:rsidRDefault="005E72EC" w:rsidP="004F0D35">
            <w:pPr>
              <w:spacing w:after="0" w:line="240" w:lineRule="auto"/>
              <w:jc w:val="center"/>
              <w:rPr>
                <w:rFonts w:ascii="Trebuchet MS" w:eastAsia="Times New Roman" w:hAnsi="Trebuchet MS" w:cs="Arial"/>
                <w:b/>
                <w:bCs/>
                <w:color w:val="0070C0"/>
                <w:sz w:val="16"/>
                <w:szCs w:val="16"/>
                <w:lang w:eastAsia="en-GB"/>
              </w:rPr>
            </w:pPr>
            <w:r w:rsidRPr="006C303A">
              <w:rPr>
                <w:rFonts w:ascii="Trebuchet MS" w:eastAsia="Times New Roman" w:hAnsi="Trebuchet MS" w:cs="Arial"/>
                <w:b/>
                <w:bCs/>
                <w:color w:val="0070C0"/>
                <w:sz w:val="16"/>
                <w:szCs w:val="16"/>
                <w:lang w:eastAsia="en-GB"/>
              </w:rPr>
              <w:t>After Scheme</w:t>
            </w:r>
          </w:p>
        </w:tc>
        <w:tc>
          <w:tcPr>
            <w:tcW w:w="1055" w:type="dxa"/>
            <w:tcBorders>
              <w:top w:val="nil"/>
              <w:left w:val="nil"/>
              <w:bottom w:val="nil"/>
              <w:right w:val="nil"/>
            </w:tcBorders>
            <w:shd w:val="clear" w:color="auto" w:fill="auto"/>
            <w:noWrap/>
            <w:vAlign w:val="bottom"/>
            <w:hideMark/>
          </w:tcPr>
          <w:p w14:paraId="1CB69515" w14:textId="77777777" w:rsidR="005E72EC" w:rsidRPr="002C2316" w:rsidRDefault="005E72EC" w:rsidP="004F0D35">
            <w:pPr>
              <w:spacing w:after="0" w:line="240" w:lineRule="auto"/>
              <w:jc w:val="center"/>
              <w:rPr>
                <w:rFonts w:ascii="Trebuchet MS" w:eastAsia="Times New Roman" w:hAnsi="Trebuchet MS" w:cs="Arial"/>
                <w:color w:val="0070C0"/>
                <w:sz w:val="16"/>
                <w:szCs w:val="16"/>
                <w:lang w:eastAsia="en-GB"/>
              </w:rPr>
            </w:pPr>
          </w:p>
        </w:tc>
        <w:tc>
          <w:tcPr>
            <w:tcW w:w="751" w:type="dxa"/>
            <w:tcBorders>
              <w:top w:val="nil"/>
              <w:left w:val="nil"/>
              <w:bottom w:val="nil"/>
              <w:right w:val="nil"/>
            </w:tcBorders>
            <w:shd w:val="clear" w:color="auto" w:fill="auto"/>
            <w:noWrap/>
            <w:vAlign w:val="bottom"/>
            <w:hideMark/>
          </w:tcPr>
          <w:p w14:paraId="2381FFCD"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c>
          <w:tcPr>
            <w:tcW w:w="696" w:type="dxa"/>
            <w:tcBorders>
              <w:top w:val="nil"/>
              <w:left w:val="nil"/>
              <w:bottom w:val="nil"/>
              <w:right w:val="nil"/>
            </w:tcBorders>
            <w:shd w:val="clear" w:color="auto" w:fill="auto"/>
            <w:noWrap/>
            <w:vAlign w:val="bottom"/>
            <w:hideMark/>
          </w:tcPr>
          <w:p w14:paraId="4D3F25A7"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c>
          <w:tcPr>
            <w:tcW w:w="1348" w:type="dxa"/>
            <w:tcBorders>
              <w:top w:val="nil"/>
              <w:left w:val="nil"/>
              <w:bottom w:val="nil"/>
              <w:right w:val="nil"/>
            </w:tcBorders>
            <w:shd w:val="clear" w:color="auto" w:fill="auto"/>
            <w:noWrap/>
            <w:vAlign w:val="bottom"/>
            <w:hideMark/>
          </w:tcPr>
          <w:p w14:paraId="0A944AC4"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r>
      <w:tr w:rsidR="005E72EC" w:rsidRPr="002C2316" w14:paraId="4F4E0B81" w14:textId="77777777" w:rsidTr="00485908">
        <w:trPr>
          <w:trHeight w:val="261"/>
        </w:trPr>
        <w:tc>
          <w:tcPr>
            <w:tcW w:w="1485" w:type="dxa"/>
            <w:tcBorders>
              <w:top w:val="nil"/>
              <w:left w:val="nil"/>
              <w:bottom w:val="nil"/>
              <w:right w:val="nil"/>
            </w:tcBorders>
            <w:shd w:val="clear" w:color="auto" w:fill="auto"/>
            <w:noWrap/>
            <w:vAlign w:val="center"/>
            <w:hideMark/>
          </w:tcPr>
          <w:p w14:paraId="39B24BC9" w14:textId="77777777" w:rsidR="005E72EC" w:rsidRPr="002C2316" w:rsidRDefault="005E72EC" w:rsidP="004F0D35">
            <w:pPr>
              <w:spacing w:after="0" w:line="240" w:lineRule="auto"/>
              <w:jc w:val="center"/>
              <w:rPr>
                <w:rFonts w:ascii="Trebuchet MS" w:eastAsia="Times New Roman" w:hAnsi="Trebuchet MS" w:cs="Times New Roman"/>
                <w:b/>
                <w:bCs/>
                <w:color w:val="000000"/>
                <w:sz w:val="16"/>
                <w:szCs w:val="16"/>
                <w:lang w:eastAsia="en-GB"/>
              </w:rPr>
            </w:pPr>
            <w:r w:rsidRPr="002C2316">
              <w:rPr>
                <w:rFonts w:ascii="Trebuchet MS" w:eastAsia="Times New Roman" w:hAnsi="Trebuchet MS" w:cs="Times New Roman"/>
                <w:b/>
                <w:bCs/>
                <w:color w:val="000000"/>
                <w:sz w:val="16"/>
                <w:szCs w:val="16"/>
                <w:lang w:eastAsia="en-GB"/>
              </w:rPr>
              <w:t>AGIL</w:t>
            </w:r>
          </w:p>
        </w:tc>
        <w:tc>
          <w:tcPr>
            <w:tcW w:w="728" w:type="dxa"/>
            <w:tcBorders>
              <w:top w:val="nil"/>
              <w:left w:val="single" w:sz="8" w:space="0" w:color="0070C0"/>
              <w:bottom w:val="single" w:sz="8" w:space="0" w:color="0070C0"/>
              <w:right w:val="nil"/>
            </w:tcBorders>
            <w:shd w:val="clear" w:color="auto" w:fill="auto"/>
            <w:noWrap/>
            <w:vAlign w:val="center"/>
            <w:hideMark/>
          </w:tcPr>
          <w:p w14:paraId="081230F8" w14:textId="77777777" w:rsidR="005E72EC" w:rsidRPr="002C2316" w:rsidRDefault="005E72EC" w:rsidP="004F0D35">
            <w:pPr>
              <w:spacing w:after="0" w:line="240" w:lineRule="auto"/>
              <w:jc w:val="right"/>
              <w:rPr>
                <w:rFonts w:ascii="Trebuchet MS" w:eastAsia="Times New Roman" w:hAnsi="Trebuchet MS" w:cs="Arial"/>
                <w:color w:val="0070C0"/>
                <w:sz w:val="16"/>
                <w:szCs w:val="16"/>
                <w:lang w:eastAsia="en-GB"/>
              </w:rPr>
            </w:pPr>
            <w:r w:rsidRPr="002C2316">
              <w:rPr>
                <w:rFonts w:ascii="Trebuchet MS" w:eastAsia="Times New Roman" w:hAnsi="Trebuchet MS" w:cs="Arial"/>
                <w:color w:val="0070C0"/>
                <w:sz w:val="16"/>
                <w:szCs w:val="16"/>
                <w:lang w:eastAsia="en-GB"/>
              </w:rPr>
              <w:t>UK</w:t>
            </w:r>
          </w:p>
        </w:tc>
        <w:tc>
          <w:tcPr>
            <w:tcW w:w="1055" w:type="dxa"/>
            <w:tcBorders>
              <w:top w:val="nil"/>
              <w:left w:val="nil"/>
              <w:bottom w:val="single" w:sz="8" w:space="0" w:color="0070C0"/>
              <w:right w:val="nil"/>
            </w:tcBorders>
            <w:shd w:val="clear" w:color="auto" w:fill="auto"/>
            <w:noWrap/>
            <w:vAlign w:val="center"/>
            <w:hideMark/>
          </w:tcPr>
          <w:p w14:paraId="3CED507E" w14:textId="77777777" w:rsidR="005E72EC" w:rsidRPr="002C2316" w:rsidRDefault="005E72EC" w:rsidP="004F0D35">
            <w:pPr>
              <w:spacing w:after="0" w:line="240" w:lineRule="auto"/>
              <w:jc w:val="right"/>
              <w:rPr>
                <w:rFonts w:ascii="Trebuchet MS" w:eastAsia="Times New Roman" w:hAnsi="Trebuchet MS" w:cs="Arial"/>
                <w:color w:val="0070C0"/>
                <w:sz w:val="16"/>
                <w:szCs w:val="16"/>
                <w:lang w:eastAsia="en-GB"/>
              </w:rPr>
            </w:pPr>
            <w:r w:rsidRPr="002C2316">
              <w:rPr>
                <w:rFonts w:ascii="Trebuchet MS" w:eastAsia="Times New Roman" w:hAnsi="Trebuchet MS" w:cs="Arial"/>
                <w:color w:val="0070C0"/>
                <w:sz w:val="16"/>
                <w:szCs w:val="16"/>
                <w:lang w:eastAsia="en-GB"/>
              </w:rPr>
              <w:t>EU</w:t>
            </w:r>
          </w:p>
        </w:tc>
        <w:tc>
          <w:tcPr>
            <w:tcW w:w="751" w:type="dxa"/>
            <w:tcBorders>
              <w:top w:val="nil"/>
              <w:left w:val="single" w:sz="8" w:space="0" w:color="0070C0"/>
              <w:bottom w:val="single" w:sz="8" w:space="0" w:color="0070C0"/>
              <w:right w:val="single" w:sz="8" w:space="0" w:color="0070C0"/>
            </w:tcBorders>
            <w:shd w:val="clear" w:color="auto" w:fill="auto"/>
            <w:noWrap/>
            <w:vAlign w:val="center"/>
            <w:hideMark/>
          </w:tcPr>
          <w:p w14:paraId="7735C6AA" w14:textId="77777777" w:rsidR="005E72EC" w:rsidRPr="002C2316" w:rsidRDefault="005E72EC" w:rsidP="004F0D35">
            <w:pPr>
              <w:spacing w:after="0" w:line="240" w:lineRule="auto"/>
              <w:jc w:val="right"/>
              <w:rPr>
                <w:rFonts w:ascii="Trebuchet MS" w:eastAsia="Times New Roman" w:hAnsi="Trebuchet MS" w:cs="Arial"/>
                <w:color w:val="0070C0"/>
                <w:sz w:val="16"/>
                <w:szCs w:val="16"/>
                <w:lang w:eastAsia="en-GB"/>
              </w:rPr>
            </w:pPr>
            <w:r w:rsidRPr="002C2316">
              <w:rPr>
                <w:rFonts w:ascii="Trebuchet MS" w:eastAsia="Times New Roman" w:hAnsi="Trebuchet MS" w:cs="Arial"/>
                <w:color w:val="0070C0"/>
                <w:sz w:val="16"/>
                <w:szCs w:val="16"/>
                <w:lang w:eastAsia="en-GB"/>
              </w:rPr>
              <w:t>Total</w:t>
            </w:r>
          </w:p>
        </w:tc>
        <w:tc>
          <w:tcPr>
            <w:tcW w:w="728" w:type="dxa"/>
            <w:tcBorders>
              <w:top w:val="nil"/>
              <w:left w:val="nil"/>
              <w:bottom w:val="single" w:sz="8" w:space="0" w:color="0070C0"/>
              <w:right w:val="nil"/>
            </w:tcBorders>
            <w:shd w:val="clear" w:color="auto" w:fill="auto"/>
            <w:noWrap/>
            <w:vAlign w:val="center"/>
            <w:hideMark/>
          </w:tcPr>
          <w:p w14:paraId="6513603E" w14:textId="77777777" w:rsidR="005E72EC" w:rsidRPr="002C2316" w:rsidRDefault="005E72EC" w:rsidP="004F0D35">
            <w:pPr>
              <w:spacing w:after="0" w:line="240" w:lineRule="auto"/>
              <w:jc w:val="right"/>
              <w:rPr>
                <w:rFonts w:ascii="Trebuchet MS" w:eastAsia="Times New Roman" w:hAnsi="Trebuchet MS" w:cs="Arial"/>
                <w:color w:val="0070C0"/>
                <w:sz w:val="16"/>
                <w:szCs w:val="16"/>
                <w:lang w:eastAsia="en-GB"/>
              </w:rPr>
            </w:pPr>
            <w:r w:rsidRPr="002C2316">
              <w:rPr>
                <w:rFonts w:ascii="Trebuchet MS" w:eastAsia="Times New Roman" w:hAnsi="Trebuchet MS" w:cs="Arial"/>
                <w:color w:val="0070C0"/>
                <w:sz w:val="16"/>
                <w:szCs w:val="16"/>
                <w:lang w:eastAsia="en-GB"/>
              </w:rPr>
              <w:t>UK</w:t>
            </w:r>
          </w:p>
        </w:tc>
        <w:tc>
          <w:tcPr>
            <w:tcW w:w="726" w:type="dxa"/>
            <w:tcBorders>
              <w:top w:val="nil"/>
              <w:left w:val="nil"/>
              <w:bottom w:val="single" w:sz="8" w:space="0" w:color="0070C0"/>
              <w:right w:val="nil"/>
            </w:tcBorders>
            <w:shd w:val="clear" w:color="auto" w:fill="auto"/>
            <w:noWrap/>
            <w:vAlign w:val="center"/>
            <w:hideMark/>
          </w:tcPr>
          <w:p w14:paraId="3360075C" w14:textId="77777777" w:rsidR="005E72EC" w:rsidRPr="002C2316" w:rsidRDefault="005E72EC" w:rsidP="004F0D35">
            <w:pPr>
              <w:spacing w:after="0" w:line="240" w:lineRule="auto"/>
              <w:jc w:val="right"/>
              <w:rPr>
                <w:rFonts w:ascii="Trebuchet MS" w:eastAsia="Times New Roman" w:hAnsi="Trebuchet MS" w:cs="Arial"/>
                <w:color w:val="0070C0"/>
                <w:sz w:val="16"/>
                <w:szCs w:val="16"/>
                <w:lang w:eastAsia="en-GB"/>
              </w:rPr>
            </w:pPr>
            <w:r w:rsidRPr="002C2316">
              <w:rPr>
                <w:rFonts w:ascii="Trebuchet MS" w:eastAsia="Times New Roman" w:hAnsi="Trebuchet MS" w:cs="Arial"/>
                <w:color w:val="0070C0"/>
                <w:sz w:val="16"/>
                <w:szCs w:val="16"/>
                <w:lang w:eastAsia="en-GB"/>
              </w:rPr>
              <w:t>EU</w:t>
            </w:r>
          </w:p>
        </w:tc>
        <w:tc>
          <w:tcPr>
            <w:tcW w:w="1055" w:type="dxa"/>
            <w:tcBorders>
              <w:top w:val="nil"/>
              <w:left w:val="single" w:sz="8" w:space="0" w:color="0070C0"/>
              <w:bottom w:val="single" w:sz="8" w:space="0" w:color="0070C0"/>
              <w:right w:val="single" w:sz="8" w:space="0" w:color="0070C0"/>
            </w:tcBorders>
            <w:shd w:val="clear" w:color="auto" w:fill="auto"/>
            <w:noWrap/>
            <w:vAlign w:val="center"/>
            <w:hideMark/>
          </w:tcPr>
          <w:p w14:paraId="0607304A" w14:textId="77777777" w:rsidR="005E72EC" w:rsidRPr="002C2316" w:rsidRDefault="005E72EC" w:rsidP="004F0D35">
            <w:pPr>
              <w:spacing w:after="0" w:line="240" w:lineRule="auto"/>
              <w:jc w:val="right"/>
              <w:rPr>
                <w:rFonts w:ascii="Trebuchet MS" w:eastAsia="Times New Roman" w:hAnsi="Trebuchet MS" w:cs="Arial"/>
                <w:color w:val="0070C0"/>
                <w:sz w:val="16"/>
                <w:szCs w:val="16"/>
                <w:lang w:eastAsia="en-GB"/>
              </w:rPr>
            </w:pPr>
            <w:r w:rsidRPr="002C2316">
              <w:rPr>
                <w:rFonts w:ascii="Trebuchet MS" w:eastAsia="Times New Roman" w:hAnsi="Trebuchet MS" w:cs="Arial"/>
                <w:color w:val="0070C0"/>
                <w:sz w:val="16"/>
                <w:szCs w:val="16"/>
                <w:lang w:eastAsia="en-GB"/>
              </w:rPr>
              <w:t>Total</w:t>
            </w:r>
          </w:p>
        </w:tc>
        <w:tc>
          <w:tcPr>
            <w:tcW w:w="1055" w:type="dxa"/>
            <w:tcBorders>
              <w:top w:val="nil"/>
              <w:left w:val="nil"/>
              <w:bottom w:val="nil"/>
              <w:right w:val="nil"/>
            </w:tcBorders>
            <w:shd w:val="clear" w:color="auto" w:fill="auto"/>
            <w:noWrap/>
            <w:vAlign w:val="bottom"/>
            <w:hideMark/>
          </w:tcPr>
          <w:p w14:paraId="5CD42E85" w14:textId="77777777" w:rsidR="005E72EC" w:rsidRPr="002C2316" w:rsidRDefault="005E72EC" w:rsidP="004F0D35">
            <w:pPr>
              <w:spacing w:after="0" w:line="240" w:lineRule="auto"/>
              <w:rPr>
                <w:rFonts w:ascii="Trebuchet MS" w:eastAsia="Times New Roman" w:hAnsi="Trebuchet MS" w:cs="Arial"/>
                <w:color w:val="0070C0"/>
                <w:sz w:val="16"/>
                <w:szCs w:val="16"/>
                <w:lang w:eastAsia="en-GB"/>
              </w:rPr>
            </w:pPr>
          </w:p>
        </w:tc>
        <w:tc>
          <w:tcPr>
            <w:tcW w:w="751" w:type="dxa"/>
            <w:tcBorders>
              <w:top w:val="nil"/>
              <w:left w:val="nil"/>
              <w:bottom w:val="nil"/>
              <w:right w:val="nil"/>
            </w:tcBorders>
            <w:shd w:val="clear" w:color="auto" w:fill="auto"/>
            <w:noWrap/>
            <w:vAlign w:val="bottom"/>
            <w:hideMark/>
          </w:tcPr>
          <w:p w14:paraId="53098187"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c>
          <w:tcPr>
            <w:tcW w:w="696" w:type="dxa"/>
            <w:tcBorders>
              <w:top w:val="nil"/>
              <w:left w:val="nil"/>
              <w:bottom w:val="nil"/>
              <w:right w:val="nil"/>
            </w:tcBorders>
            <w:shd w:val="clear" w:color="auto" w:fill="auto"/>
            <w:noWrap/>
            <w:vAlign w:val="bottom"/>
            <w:hideMark/>
          </w:tcPr>
          <w:p w14:paraId="2EBAF063"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c>
          <w:tcPr>
            <w:tcW w:w="1348" w:type="dxa"/>
            <w:tcBorders>
              <w:top w:val="nil"/>
              <w:left w:val="nil"/>
              <w:bottom w:val="nil"/>
              <w:right w:val="nil"/>
            </w:tcBorders>
            <w:shd w:val="clear" w:color="auto" w:fill="auto"/>
            <w:noWrap/>
            <w:vAlign w:val="bottom"/>
            <w:hideMark/>
          </w:tcPr>
          <w:p w14:paraId="54A4BF5C"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r>
      <w:tr w:rsidR="005E72EC" w:rsidRPr="002C2316" w14:paraId="5759C616" w14:textId="77777777" w:rsidTr="00485908">
        <w:trPr>
          <w:trHeight w:val="241"/>
        </w:trPr>
        <w:tc>
          <w:tcPr>
            <w:tcW w:w="1485" w:type="dxa"/>
            <w:tcBorders>
              <w:top w:val="single" w:sz="8" w:space="0" w:color="0070C0"/>
              <w:left w:val="single" w:sz="8" w:space="0" w:color="0070C0"/>
              <w:bottom w:val="single" w:sz="8" w:space="0" w:color="0070C0"/>
              <w:right w:val="single" w:sz="8" w:space="0" w:color="0070C0"/>
            </w:tcBorders>
            <w:shd w:val="clear" w:color="auto" w:fill="auto"/>
            <w:noWrap/>
            <w:vAlign w:val="center"/>
            <w:hideMark/>
          </w:tcPr>
          <w:p w14:paraId="001C40F7" w14:textId="77777777" w:rsidR="005E72EC" w:rsidRPr="002C2316" w:rsidRDefault="005E72EC" w:rsidP="004F0D35">
            <w:pPr>
              <w:spacing w:after="0" w:line="240" w:lineRule="auto"/>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Claims Provision</w:t>
            </w:r>
          </w:p>
        </w:tc>
        <w:tc>
          <w:tcPr>
            <w:tcW w:w="728" w:type="dxa"/>
            <w:tcBorders>
              <w:top w:val="nil"/>
              <w:left w:val="nil"/>
              <w:bottom w:val="single" w:sz="8" w:space="0" w:color="0070C0"/>
              <w:right w:val="nil"/>
            </w:tcBorders>
            <w:shd w:val="clear" w:color="auto" w:fill="auto"/>
            <w:noWrap/>
            <w:vAlign w:val="center"/>
            <w:hideMark/>
          </w:tcPr>
          <w:p w14:paraId="56F4E2D3"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695</w:t>
            </w:r>
          </w:p>
        </w:tc>
        <w:tc>
          <w:tcPr>
            <w:tcW w:w="1055" w:type="dxa"/>
            <w:tcBorders>
              <w:top w:val="nil"/>
              <w:left w:val="nil"/>
              <w:bottom w:val="single" w:sz="8" w:space="0" w:color="0070C0"/>
              <w:right w:val="nil"/>
            </w:tcBorders>
            <w:shd w:val="clear" w:color="auto" w:fill="auto"/>
            <w:noWrap/>
            <w:vAlign w:val="center"/>
            <w:hideMark/>
          </w:tcPr>
          <w:p w14:paraId="0BAEA11B"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2,656</w:t>
            </w:r>
          </w:p>
        </w:tc>
        <w:tc>
          <w:tcPr>
            <w:tcW w:w="751" w:type="dxa"/>
            <w:tcBorders>
              <w:top w:val="nil"/>
              <w:left w:val="single" w:sz="8" w:space="0" w:color="0070C0"/>
              <w:bottom w:val="single" w:sz="8" w:space="0" w:color="0070C0"/>
              <w:right w:val="single" w:sz="8" w:space="0" w:color="0070C0"/>
            </w:tcBorders>
            <w:shd w:val="clear" w:color="auto" w:fill="auto"/>
            <w:noWrap/>
            <w:vAlign w:val="center"/>
            <w:hideMark/>
          </w:tcPr>
          <w:p w14:paraId="4567529D"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3,351</w:t>
            </w:r>
          </w:p>
        </w:tc>
        <w:tc>
          <w:tcPr>
            <w:tcW w:w="728" w:type="dxa"/>
            <w:tcBorders>
              <w:top w:val="nil"/>
              <w:left w:val="nil"/>
              <w:bottom w:val="single" w:sz="8" w:space="0" w:color="0070C0"/>
              <w:right w:val="nil"/>
            </w:tcBorders>
            <w:shd w:val="clear" w:color="auto" w:fill="auto"/>
            <w:noWrap/>
            <w:vAlign w:val="center"/>
            <w:hideMark/>
          </w:tcPr>
          <w:p w14:paraId="27D927A7"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695</w:t>
            </w:r>
          </w:p>
        </w:tc>
        <w:tc>
          <w:tcPr>
            <w:tcW w:w="726" w:type="dxa"/>
            <w:tcBorders>
              <w:top w:val="nil"/>
              <w:left w:val="nil"/>
              <w:bottom w:val="single" w:sz="8" w:space="0" w:color="0070C0"/>
              <w:right w:val="nil"/>
            </w:tcBorders>
            <w:shd w:val="clear" w:color="auto" w:fill="auto"/>
            <w:noWrap/>
            <w:vAlign w:val="center"/>
            <w:hideMark/>
          </w:tcPr>
          <w:p w14:paraId="50D30A9B"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0</w:t>
            </w:r>
          </w:p>
        </w:tc>
        <w:tc>
          <w:tcPr>
            <w:tcW w:w="1055" w:type="dxa"/>
            <w:tcBorders>
              <w:top w:val="nil"/>
              <w:left w:val="single" w:sz="8" w:space="0" w:color="0070C0"/>
              <w:bottom w:val="single" w:sz="8" w:space="0" w:color="0070C0"/>
              <w:right w:val="single" w:sz="8" w:space="0" w:color="0070C0"/>
            </w:tcBorders>
            <w:shd w:val="clear" w:color="auto" w:fill="auto"/>
            <w:noWrap/>
            <w:vAlign w:val="center"/>
            <w:hideMark/>
          </w:tcPr>
          <w:p w14:paraId="4B4ACD73"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695</w:t>
            </w:r>
          </w:p>
        </w:tc>
        <w:tc>
          <w:tcPr>
            <w:tcW w:w="1055" w:type="dxa"/>
            <w:tcBorders>
              <w:top w:val="nil"/>
              <w:left w:val="nil"/>
              <w:bottom w:val="nil"/>
              <w:right w:val="nil"/>
            </w:tcBorders>
            <w:shd w:val="clear" w:color="auto" w:fill="auto"/>
            <w:noWrap/>
            <w:vAlign w:val="bottom"/>
            <w:hideMark/>
          </w:tcPr>
          <w:p w14:paraId="0FB89942"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p>
        </w:tc>
        <w:tc>
          <w:tcPr>
            <w:tcW w:w="751" w:type="dxa"/>
            <w:tcBorders>
              <w:top w:val="nil"/>
              <w:left w:val="nil"/>
              <w:bottom w:val="nil"/>
              <w:right w:val="nil"/>
            </w:tcBorders>
            <w:shd w:val="clear" w:color="auto" w:fill="auto"/>
            <w:noWrap/>
            <w:vAlign w:val="bottom"/>
            <w:hideMark/>
          </w:tcPr>
          <w:p w14:paraId="37DC42B5"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c>
          <w:tcPr>
            <w:tcW w:w="696" w:type="dxa"/>
            <w:tcBorders>
              <w:top w:val="nil"/>
              <w:left w:val="nil"/>
              <w:bottom w:val="nil"/>
              <w:right w:val="nil"/>
            </w:tcBorders>
            <w:shd w:val="clear" w:color="auto" w:fill="auto"/>
            <w:noWrap/>
            <w:vAlign w:val="bottom"/>
            <w:hideMark/>
          </w:tcPr>
          <w:p w14:paraId="17F7E968"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c>
          <w:tcPr>
            <w:tcW w:w="1348" w:type="dxa"/>
            <w:tcBorders>
              <w:top w:val="nil"/>
              <w:left w:val="nil"/>
              <w:bottom w:val="nil"/>
              <w:right w:val="nil"/>
            </w:tcBorders>
            <w:shd w:val="clear" w:color="auto" w:fill="auto"/>
            <w:noWrap/>
            <w:vAlign w:val="bottom"/>
            <w:hideMark/>
          </w:tcPr>
          <w:p w14:paraId="1CC1F17B"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r>
      <w:tr w:rsidR="005E72EC" w:rsidRPr="002C2316" w14:paraId="2F9644B2" w14:textId="77777777" w:rsidTr="00485908">
        <w:trPr>
          <w:trHeight w:val="241"/>
        </w:trPr>
        <w:tc>
          <w:tcPr>
            <w:tcW w:w="1485" w:type="dxa"/>
            <w:tcBorders>
              <w:top w:val="nil"/>
              <w:left w:val="single" w:sz="8" w:space="0" w:color="0070C0"/>
              <w:bottom w:val="single" w:sz="8" w:space="0" w:color="0070C0"/>
              <w:right w:val="single" w:sz="8" w:space="0" w:color="0070C0"/>
            </w:tcBorders>
            <w:shd w:val="clear" w:color="auto" w:fill="auto"/>
            <w:noWrap/>
            <w:vAlign w:val="center"/>
            <w:hideMark/>
          </w:tcPr>
          <w:p w14:paraId="2A1121FF" w14:textId="77777777" w:rsidR="005E72EC" w:rsidRPr="002C2316" w:rsidRDefault="005E72EC" w:rsidP="004F0D35">
            <w:pPr>
              <w:spacing w:after="0" w:line="240" w:lineRule="auto"/>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Premium Provision</w:t>
            </w:r>
          </w:p>
        </w:tc>
        <w:tc>
          <w:tcPr>
            <w:tcW w:w="728" w:type="dxa"/>
            <w:tcBorders>
              <w:top w:val="nil"/>
              <w:left w:val="nil"/>
              <w:bottom w:val="single" w:sz="8" w:space="0" w:color="0070C0"/>
              <w:right w:val="nil"/>
            </w:tcBorders>
            <w:shd w:val="clear" w:color="auto" w:fill="auto"/>
            <w:noWrap/>
            <w:vAlign w:val="center"/>
            <w:hideMark/>
          </w:tcPr>
          <w:p w14:paraId="6E51EB9B"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FF0000"/>
                <w:sz w:val="16"/>
                <w:szCs w:val="16"/>
                <w:lang w:eastAsia="en-GB"/>
              </w:rPr>
              <w:t>(1,263)</w:t>
            </w:r>
          </w:p>
        </w:tc>
        <w:tc>
          <w:tcPr>
            <w:tcW w:w="1055" w:type="dxa"/>
            <w:tcBorders>
              <w:top w:val="nil"/>
              <w:left w:val="nil"/>
              <w:bottom w:val="single" w:sz="8" w:space="0" w:color="0070C0"/>
              <w:right w:val="nil"/>
            </w:tcBorders>
            <w:shd w:val="clear" w:color="auto" w:fill="auto"/>
            <w:noWrap/>
            <w:vAlign w:val="center"/>
            <w:hideMark/>
          </w:tcPr>
          <w:p w14:paraId="57C88D72"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787</w:t>
            </w:r>
          </w:p>
        </w:tc>
        <w:tc>
          <w:tcPr>
            <w:tcW w:w="751" w:type="dxa"/>
            <w:tcBorders>
              <w:top w:val="nil"/>
              <w:left w:val="single" w:sz="8" w:space="0" w:color="0070C0"/>
              <w:bottom w:val="single" w:sz="8" w:space="0" w:color="0070C0"/>
              <w:right w:val="single" w:sz="8" w:space="0" w:color="0070C0"/>
            </w:tcBorders>
            <w:shd w:val="clear" w:color="auto" w:fill="auto"/>
            <w:noWrap/>
            <w:vAlign w:val="center"/>
            <w:hideMark/>
          </w:tcPr>
          <w:p w14:paraId="43E73D3C"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FF0000"/>
                <w:sz w:val="16"/>
                <w:szCs w:val="16"/>
                <w:lang w:eastAsia="en-GB"/>
              </w:rPr>
              <w:t>(476)</w:t>
            </w:r>
          </w:p>
        </w:tc>
        <w:tc>
          <w:tcPr>
            <w:tcW w:w="728" w:type="dxa"/>
            <w:tcBorders>
              <w:top w:val="nil"/>
              <w:left w:val="nil"/>
              <w:bottom w:val="single" w:sz="8" w:space="0" w:color="0070C0"/>
              <w:right w:val="nil"/>
            </w:tcBorders>
            <w:shd w:val="clear" w:color="auto" w:fill="auto"/>
            <w:noWrap/>
            <w:vAlign w:val="center"/>
            <w:hideMark/>
          </w:tcPr>
          <w:p w14:paraId="1924F314"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FF0000"/>
                <w:sz w:val="16"/>
                <w:szCs w:val="16"/>
                <w:lang w:eastAsia="en-GB"/>
              </w:rPr>
              <w:t>(1,263)</w:t>
            </w:r>
          </w:p>
        </w:tc>
        <w:tc>
          <w:tcPr>
            <w:tcW w:w="726" w:type="dxa"/>
            <w:tcBorders>
              <w:top w:val="nil"/>
              <w:left w:val="nil"/>
              <w:bottom w:val="single" w:sz="8" w:space="0" w:color="0070C0"/>
              <w:right w:val="nil"/>
            </w:tcBorders>
            <w:shd w:val="clear" w:color="auto" w:fill="auto"/>
            <w:noWrap/>
            <w:vAlign w:val="center"/>
            <w:hideMark/>
          </w:tcPr>
          <w:p w14:paraId="398DF64C"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0</w:t>
            </w:r>
          </w:p>
        </w:tc>
        <w:tc>
          <w:tcPr>
            <w:tcW w:w="1055" w:type="dxa"/>
            <w:tcBorders>
              <w:top w:val="nil"/>
              <w:left w:val="single" w:sz="8" w:space="0" w:color="0070C0"/>
              <w:bottom w:val="single" w:sz="8" w:space="0" w:color="0070C0"/>
              <w:right w:val="single" w:sz="8" w:space="0" w:color="0070C0"/>
            </w:tcBorders>
            <w:shd w:val="clear" w:color="auto" w:fill="auto"/>
            <w:noWrap/>
            <w:vAlign w:val="center"/>
            <w:hideMark/>
          </w:tcPr>
          <w:p w14:paraId="162E85A6"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FF0000"/>
                <w:sz w:val="16"/>
                <w:szCs w:val="16"/>
                <w:lang w:eastAsia="en-GB"/>
              </w:rPr>
              <w:t>(1,263)</w:t>
            </w:r>
          </w:p>
        </w:tc>
        <w:tc>
          <w:tcPr>
            <w:tcW w:w="1055" w:type="dxa"/>
            <w:tcBorders>
              <w:top w:val="nil"/>
              <w:left w:val="nil"/>
              <w:bottom w:val="nil"/>
              <w:right w:val="nil"/>
            </w:tcBorders>
            <w:shd w:val="clear" w:color="auto" w:fill="auto"/>
            <w:noWrap/>
            <w:vAlign w:val="bottom"/>
            <w:hideMark/>
          </w:tcPr>
          <w:p w14:paraId="11C9E216"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p>
        </w:tc>
        <w:tc>
          <w:tcPr>
            <w:tcW w:w="751" w:type="dxa"/>
            <w:tcBorders>
              <w:top w:val="nil"/>
              <w:left w:val="nil"/>
              <w:bottom w:val="nil"/>
              <w:right w:val="nil"/>
            </w:tcBorders>
            <w:shd w:val="clear" w:color="auto" w:fill="auto"/>
            <w:noWrap/>
            <w:vAlign w:val="bottom"/>
            <w:hideMark/>
          </w:tcPr>
          <w:p w14:paraId="08F322FD"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c>
          <w:tcPr>
            <w:tcW w:w="696" w:type="dxa"/>
            <w:tcBorders>
              <w:top w:val="nil"/>
              <w:left w:val="nil"/>
              <w:bottom w:val="nil"/>
              <w:right w:val="nil"/>
            </w:tcBorders>
            <w:shd w:val="clear" w:color="auto" w:fill="auto"/>
            <w:noWrap/>
            <w:vAlign w:val="bottom"/>
            <w:hideMark/>
          </w:tcPr>
          <w:p w14:paraId="7291F1D7"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c>
          <w:tcPr>
            <w:tcW w:w="1348" w:type="dxa"/>
            <w:tcBorders>
              <w:top w:val="nil"/>
              <w:left w:val="nil"/>
              <w:bottom w:val="nil"/>
              <w:right w:val="nil"/>
            </w:tcBorders>
            <w:shd w:val="clear" w:color="auto" w:fill="auto"/>
            <w:noWrap/>
            <w:vAlign w:val="bottom"/>
            <w:hideMark/>
          </w:tcPr>
          <w:p w14:paraId="63F7AC34"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r>
      <w:tr w:rsidR="005E72EC" w:rsidRPr="002C2316" w14:paraId="02A216CC" w14:textId="77777777" w:rsidTr="00485908">
        <w:trPr>
          <w:trHeight w:val="241"/>
        </w:trPr>
        <w:tc>
          <w:tcPr>
            <w:tcW w:w="1485" w:type="dxa"/>
            <w:tcBorders>
              <w:top w:val="nil"/>
              <w:left w:val="single" w:sz="8" w:space="0" w:color="0070C0"/>
              <w:bottom w:val="single" w:sz="8" w:space="0" w:color="0070C0"/>
              <w:right w:val="single" w:sz="8" w:space="0" w:color="0070C0"/>
            </w:tcBorders>
            <w:shd w:val="clear" w:color="auto" w:fill="auto"/>
            <w:noWrap/>
            <w:vAlign w:val="center"/>
            <w:hideMark/>
          </w:tcPr>
          <w:p w14:paraId="32D63988" w14:textId="77777777" w:rsidR="005E72EC" w:rsidRPr="002C2316" w:rsidRDefault="005E72EC" w:rsidP="004F0D35">
            <w:pPr>
              <w:spacing w:after="0" w:line="240" w:lineRule="auto"/>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Total</w:t>
            </w:r>
          </w:p>
        </w:tc>
        <w:tc>
          <w:tcPr>
            <w:tcW w:w="728" w:type="dxa"/>
            <w:tcBorders>
              <w:top w:val="nil"/>
              <w:left w:val="nil"/>
              <w:bottom w:val="single" w:sz="8" w:space="0" w:color="0070C0"/>
              <w:right w:val="nil"/>
            </w:tcBorders>
            <w:shd w:val="clear" w:color="auto" w:fill="auto"/>
            <w:noWrap/>
            <w:vAlign w:val="center"/>
            <w:hideMark/>
          </w:tcPr>
          <w:p w14:paraId="5F69DA37"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FF0000"/>
                <w:sz w:val="16"/>
                <w:szCs w:val="16"/>
                <w:lang w:eastAsia="en-GB"/>
              </w:rPr>
              <w:t>(567)</w:t>
            </w:r>
          </w:p>
        </w:tc>
        <w:tc>
          <w:tcPr>
            <w:tcW w:w="1055" w:type="dxa"/>
            <w:tcBorders>
              <w:top w:val="nil"/>
              <w:left w:val="nil"/>
              <w:bottom w:val="single" w:sz="8" w:space="0" w:color="0070C0"/>
              <w:right w:val="nil"/>
            </w:tcBorders>
            <w:shd w:val="clear" w:color="auto" w:fill="auto"/>
            <w:noWrap/>
            <w:vAlign w:val="center"/>
            <w:hideMark/>
          </w:tcPr>
          <w:p w14:paraId="7AE55894"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3,443</w:t>
            </w:r>
          </w:p>
        </w:tc>
        <w:tc>
          <w:tcPr>
            <w:tcW w:w="751" w:type="dxa"/>
            <w:tcBorders>
              <w:top w:val="nil"/>
              <w:left w:val="single" w:sz="8" w:space="0" w:color="0070C0"/>
              <w:bottom w:val="single" w:sz="8" w:space="0" w:color="0070C0"/>
              <w:right w:val="single" w:sz="8" w:space="0" w:color="0070C0"/>
            </w:tcBorders>
            <w:shd w:val="clear" w:color="auto" w:fill="auto"/>
            <w:noWrap/>
            <w:vAlign w:val="center"/>
            <w:hideMark/>
          </w:tcPr>
          <w:p w14:paraId="4B84157C"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2,875</w:t>
            </w:r>
          </w:p>
        </w:tc>
        <w:tc>
          <w:tcPr>
            <w:tcW w:w="728" w:type="dxa"/>
            <w:tcBorders>
              <w:top w:val="nil"/>
              <w:left w:val="nil"/>
              <w:bottom w:val="single" w:sz="8" w:space="0" w:color="0070C0"/>
              <w:right w:val="nil"/>
            </w:tcBorders>
            <w:shd w:val="clear" w:color="auto" w:fill="auto"/>
            <w:noWrap/>
            <w:vAlign w:val="center"/>
            <w:hideMark/>
          </w:tcPr>
          <w:p w14:paraId="2539094B"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FF0000"/>
                <w:sz w:val="16"/>
                <w:szCs w:val="16"/>
                <w:lang w:eastAsia="en-GB"/>
              </w:rPr>
              <w:t>(567)</w:t>
            </w:r>
          </w:p>
        </w:tc>
        <w:tc>
          <w:tcPr>
            <w:tcW w:w="726" w:type="dxa"/>
            <w:tcBorders>
              <w:top w:val="nil"/>
              <w:left w:val="nil"/>
              <w:bottom w:val="single" w:sz="8" w:space="0" w:color="0070C0"/>
              <w:right w:val="nil"/>
            </w:tcBorders>
            <w:shd w:val="clear" w:color="auto" w:fill="auto"/>
            <w:noWrap/>
            <w:vAlign w:val="center"/>
            <w:hideMark/>
          </w:tcPr>
          <w:p w14:paraId="18265485"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0</w:t>
            </w:r>
          </w:p>
        </w:tc>
        <w:tc>
          <w:tcPr>
            <w:tcW w:w="1055" w:type="dxa"/>
            <w:tcBorders>
              <w:top w:val="nil"/>
              <w:left w:val="single" w:sz="8" w:space="0" w:color="0070C0"/>
              <w:bottom w:val="single" w:sz="8" w:space="0" w:color="0070C0"/>
              <w:right w:val="single" w:sz="8" w:space="0" w:color="0070C0"/>
            </w:tcBorders>
            <w:shd w:val="clear" w:color="auto" w:fill="auto"/>
            <w:noWrap/>
            <w:vAlign w:val="center"/>
            <w:hideMark/>
          </w:tcPr>
          <w:p w14:paraId="118536BB"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FF0000"/>
                <w:sz w:val="16"/>
                <w:szCs w:val="16"/>
                <w:lang w:eastAsia="en-GB"/>
              </w:rPr>
              <w:t>(567)</w:t>
            </w:r>
          </w:p>
        </w:tc>
        <w:tc>
          <w:tcPr>
            <w:tcW w:w="1055" w:type="dxa"/>
            <w:tcBorders>
              <w:top w:val="nil"/>
              <w:left w:val="nil"/>
              <w:bottom w:val="nil"/>
              <w:right w:val="nil"/>
            </w:tcBorders>
            <w:shd w:val="clear" w:color="auto" w:fill="auto"/>
            <w:noWrap/>
            <w:vAlign w:val="bottom"/>
            <w:hideMark/>
          </w:tcPr>
          <w:p w14:paraId="3E915131"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p>
        </w:tc>
        <w:tc>
          <w:tcPr>
            <w:tcW w:w="751" w:type="dxa"/>
            <w:tcBorders>
              <w:top w:val="nil"/>
              <w:left w:val="nil"/>
              <w:bottom w:val="nil"/>
              <w:right w:val="nil"/>
            </w:tcBorders>
            <w:shd w:val="clear" w:color="auto" w:fill="auto"/>
            <w:noWrap/>
            <w:vAlign w:val="bottom"/>
            <w:hideMark/>
          </w:tcPr>
          <w:p w14:paraId="67E4938C"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c>
          <w:tcPr>
            <w:tcW w:w="696" w:type="dxa"/>
            <w:tcBorders>
              <w:top w:val="nil"/>
              <w:left w:val="nil"/>
              <w:bottom w:val="nil"/>
              <w:right w:val="nil"/>
            </w:tcBorders>
            <w:shd w:val="clear" w:color="auto" w:fill="auto"/>
            <w:noWrap/>
            <w:vAlign w:val="bottom"/>
            <w:hideMark/>
          </w:tcPr>
          <w:p w14:paraId="46FD5E64"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c>
          <w:tcPr>
            <w:tcW w:w="1348" w:type="dxa"/>
            <w:tcBorders>
              <w:top w:val="nil"/>
              <w:left w:val="nil"/>
              <w:bottom w:val="nil"/>
              <w:right w:val="nil"/>
            </w:tcBorders>
            <w:shd w:val="clear" w:color="auto" w:fill="auto"/>
            <w:noWrap/>
            <w:vAlign w:val="bottom"/>
            <w:hideMark/>
          </w:tcPr>
          <w:p w14:paraId="011AF7D3"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r>
      <w:tr w:rsidR="005E72EC" w:rsidRPr="002C2316" w14:paraId="2069360E" w14:textId="77777777" w:rsidTr="00485908">
        <w:trPr>
          <w:trHeight w:val="232"/>
        </w:trPr>
        <w:tc>
          <w:tcPr>
            <w:tcW w:w="1485" w:type="dxa"/>
            <w:tcBorders>
              <w:top w:val="nil"/>
              <w:left w:val="nil"/>
              <w:bottom w:val="nil"/>
              <w:right w:val="nil"/>
            </w:tcBorders>
            <w:shd w:val="clear" w:color="auto" w:fill="auto"/>
            <w:noWrap/>
            <w:vAlign w:val="center"/>
            <w:hideMark/>
          </w:tcPr>
          <w:p w14:paraId="1F514BFB"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c>
          <w:tcPr>
            <w:tcW w:w="728" w:type="dxa"/>
            <w:tcBorders>
              <w:top w:val="nil"/>
              <w:left w:val="nil"/>
              <w:bottom w:val="nil"/>
              <w:right w:val="nil"/>
            </w:tcBorders>
            <w:shd w:val="clear" w:color="auto" w:fill="auto"/>
            <w:noWrap/>
            <w:vAlign w:val="center"/>
            <w:hideMark/>
          </w:tcPr>
          <w:p w14:paraId="0CDCA02F"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c>
          <w:tcPr>
            <w:tcW w:w="1055" w:type="dxa"/>
            <w:tcBorders>
              <w:top w:val="nil"/>
              <w:left w:val="nil"/>
              <w:bottom w:val="nil"/>
              <w:right w:val="nil"/>
            </w:tcBorders>
            <w:shd w:val="clear" w:color="auto" w:fill="auto"/>
            <w:noWrap/>
            <w:vAlign w:val="center"/>
            <w:hideMark/>
          </w:tcPr>
          <w:p w14:paraId="06F9D48D"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c>
          <w:tcPr>
            <w:tcW w:w="751" w:type="dxa"/>
            <w:tcBorders>
              <w:top w:val="nil"/>
              <w:left w:val="nil"/>
              <w:bottom w:val="nil"/>
              <w:right w:val="nil"/>
            </w:tcBorders>
            <w:shd w:val="clear" w:color="auto" w:fill="auto"/>
            <w:noWrap/>
            <w:vAlign w:val="center"/>
            <w:hideMark/>
          </w:tcPr>
          <w:p w14:paraId="395BDA29"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c>
          <w:tcPr>
            <w:tcW w:w="728" w:type="dxa"/>
            <w:tcBorders>
              <w:top w:val="nil"/>
              <w:left w:val="nil"/>
              <w:bottom w:val="nil"/>
              <w:right w:val="nil"/>
            </w:tcBorders>
            <w:shd w:val="clear" w:color="auto" w:fill="auto"/>
            <w:noWrap/>
            <w:vAlign w:val="center"/>
            <w:hideMark/>
          </w:tcPr>
          <w:p w14:paraId="13CD2A2E"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c>
          <w:tcPr>
            <w:tcW w:w="726" w:type="dxa"/>
            <w:tcBorders>
              <w:top w:val="nil"/>
              <w:left w:val="nil"/>
              <w:bottom w:val="nil"/>
              <w:right w:val="nil"/>
            </w:tcBorders>
            <w:shd w:val="clear" w:color="auto" w:fill="auto"/>
            <w:noWrap/>
            <w:vAlign w:val="center"/>
            <w:hideMark/>
          </w:tcPr>
          <w:p w14:paraId="40D7E93F"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c>
          <w:tcPr>
            <w:tcW w:w="1055" w:type="dxa"/>
            <w:tcBorders>
              <w:top w:val="nil"/>
              <w:left w:val="nil"/>
              <w:bottom w:val="nil"/>
              <w:right w:val="nil"/>
            </w:tcBorders>
            <w:shd w:val="clear" w:color="auto" w:fill="auto"/>
            <w:noWrap/>
            <w:vAlign w:val="center"/>
            <w:hideMark/>
          </w:tcPr>
          <w:p w14:paraId="361BFB1E"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c>
          <w:tcPr>
            <w:tcW w:w="1055" w:type="dxa"/>
            <w:tcBorders>
              <w:top w:val="nil"/>
              <w:left w:val="nil"/>
              <w:bottom w:val="nil"/>
              <w:right w:val="nil"/>
            </w:tcBorders>
            <w:shd w:val="clear" w:color="auto" w:fill="auto"/>
            <w:noWrap/>
            <w:vAlign w:val="center"/>
            <w:hideMark/>
          </w:tcPr>
          <w:p w14:paraId="6A7D7095"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c>
          <w:tcPr>
            <w:tcW w:w="751" w:type="dxa"/>
            <w:tcBorders>
              <w:top w:val="nil"/>
              <w:left w:val="nil"/>
              <w:bottom w:val="nil"/>
              <w:right w:val="nil"/>
            </w:tcBorders>
            <w:shd w:val="clear" w:color="auto" w:fill="auto"/>
            <w:noWrap/>
            <w:vAlign w:val="center"/>
            <w:hideMark/>
          </w:tcPr>
          <w:p w14:paraId="6954F74B"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c>
          <w:tcPr>
            <w:tcW w:w="696" w:type="dxa"/>
            <w:tcBorders>
              <w:top w:val="nil"/>
              <w:left w:val="nil"/>
              <w:bottom w:val="nil"/>
              <w:right w:val="nil"/>
            </w:tcBorders>
            <w:shd w:val="clear" w:color="auto" w:fill="auto"/>
            <w:noWrap/>
            <w:vAlign w:val="bottom"/>
            <w:hideMark/>
          </w:tcPr>
          <w:p w14:paraId="7B9FD90D"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c>
          <w:tcPr>
            <w:tcW w:w="1348" w:type="dxa"/>
            <w:tcBorders>
              <w:top w:val="nil"/>
              <w:left w:val="nil"/>
              <w:bottom w:val="nil"/>
              <w:right w:val="nil"/>
            </w:tcBorders>
            <w:shd w:val="clear" w:color="auto" w:fill="auto"/>
            <w:noWrap/>
            <w:vAlign w:val="bottom"/>
            <w:hideMark/>
          </w:tcPr>
          <w:p w14:paraId="3E56BBA3"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r>
      <w:tr w:rsidR="005E72EC" w:rsidRPr="002C2316" w14:paraId="7130C776" w14:textId="77777777" w:rsidTr="00485908">
        <w:trPr>
          <w:trHeight w:val="241"/>
        </w:trPr>
        <w:tc>
          <w:tcPr>
            <w:tcW w:w="1485" w:type="dxa"/>
            <w:tcBorders>
              <w:top w:val="nil"/>
              <w:left w:val="nil"/>
              <w:bottom w:val="nil"/>
              <w:right w:val="nil"/>
            </w:tcBorders>
            <w:shd w:val="clear" w:color="auto" w:fill="auto"/>
            <w:noWrap/>
            <w:vAlign w:val="bottom"/>
            <w:hideMark/>
          </w:tcPr>
          <w:p w14:paraId="63999ACF"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c>
          <w:tcPr>
            <w:tcW w:w="3988" w:type="dxa"/>
            <w:gridSpan w:val="5"/>
            <w:tcBorders>
              <w:top w:val="single" w:sz="8" w:space="0" w:color="0070C0"/>
              <w:left w:val="single" w:sz="8" w:space="0" w:color="0070C0"/>
              <w:bottom w:val="single" w:sz="8" w:space="0" w:color="0070C0"/>
              <w:right w:val="single" w:sz="8" w:space="0" w:color="0070C0"/>
            </w:tcBorders>
            <w:shd w:val="clear" w:color="auto" w:fill="auto"/>
            <w:noWrap/>
            <w:vAlign w:val="center"/>
            <w:hideMark/>
          </w:tcPr>
          <w:p w14:paraId="16D4F4DB" w14:textId="77777777" w:rsidR="005E72EC" w:rsidRPr="006C303A" w:rsidRDefault="005E72EC" w:rsidP="004F0D35">
            <w:pPr>
              <w:spacing w:after="0" w:line="240" w:lineRule="auto"/>
              <w:jc w:val="center"/>
              <w:rPr>
                <w:rFonts w:ascii="Trebuchet MS" w:eastAsia="Times New Roman" w:hAnsi="Trebuchet MS" w:cs="Arial"/>
                <w:b/>
                <w:bCs/>
                <w:color w:val="0070C0"/>
                <w:sz w:val="16"/>
                <w:szCs w:val="16"/>
                <w:lang w:eastAsia="en-GB"/>
              </w:rPr>
            </w:pPr>
            <w:r w:rsidRPr="006C303A">
              <w:rPr>
                <w:rFonts w:ascii="Trebuchet MS" w:eastAsia="Times New Roman" w:hAnsi="Trebuchet MS" w:cs="Arial"/>
                <w:b/>
                <w:bCs/>
                <w:color w:val="0070C0"/>
                <w:sz w:val="16"/>
                <w:szCs w:val="16"/>
                <w:lang w:eastAsia="en-GB"/>
              </w:rPr>
              <w:t>Before Scheme</w:t>
            </w:r>
          </w:p>
        </w:tc>
        <w:tc>
          <w:tcPr>
            <w:tcW w:w="4905" w:type="dxa"/>
            <w:gridSpan w:val="5"/>
            <w:tcBorders>
              <w:top w:val="single" w:sz="8" w:space="0" w:color="0070C0"/>
              <w:left w:val="nil"/>
              <w:bottom w:val="single" w:sz="8" w:space="0" w:color="0070C0"/>
              <w:right w:val="single" w:sz="8" w:space="0" w:color="0070C0"/>
            </w:tcBorders>
            <w:shd w:val="clear" w:color="auto" w:fill="auto"/>
            <w:noWrap/>
            <w:vAlign w:val="center"/>
            <w:hideMark/>
          </w:tcPr>
          <w:p w14:paraId="02C2407E" w14:textId="77777777" w:rsidR="005E72EC" w:rsidRPr="006C303A" w:rsidRDefault="005E72EC" w:rsidP="004F0D35">
            <w:pPr>
              <w:spacing w:after="0" w:line="240" w:lineRule="auto"/>
              <w:jc w:val="center"/>
              <w:rPr>
                <w:rFonts w:ascii="Trebuchet MS" w:eastAsia="Times New Roman" w:hAnsi="Trebuchet MS" w:cs="Arial"/>
                <w:b/>
                <w:bCs/>
                <w:color w:val="0070C0"/>
                <w:sz w:val="16"/>
                <w:szCs w:val="16"/>
                <w:lang w:eastAsia="en-GB"/>
              </w:rPr>
            </w:pPr>
            <w:r w:rsidRPr="006C303A">
              <w:rPr>
                <w:rFonts w:ascii="Trebuchet MS" w:eastAsia="Times New Roman" w:hAnsi="Trebuchet MS" w:cs="Arial"/>
                <w:b/>
                <w:bCs/>
                <w:color w:val="0070C0"/>
                <w:sz w:val="16"/>
                <w:szCs w:val="16"/>
                <w:lang w:eastAsia="en-GB"/>
              </w:rPr>
              <w:t>After Scheme</w:t>
            </w:r>
          </w:p>
        </w:tc>
      </w:tr>
      <w:tr w:rsidR="005E72EC" w:rsidRPr="002C2316" w14:paraId="584A9448" w14:textId="77777777" w:rsidTr="00485908">
        <w:trPr>
          <w:trHeight w:val="261"/>
        </w:trPr>
        <w:tc>
          <w:tcPr>
            <w:tcW w:w="1485" w:type="dxa"/>
            <w:tcBorders>
              <w:top w:val="nil"/>
              <w:left w:val="nil"/>
              <w:bottom w:val="nil"/>
              <w:right w:val="nil"/>
            </w:tcBorders>
            <w:shd w:val="clear" w:color="auto" w:fill="auto"/>
            <w:noWrap/>
            <w:vAlign w:val="center"/>
            <w:hideMark/>
          </w:tcPr>
          <w:p w14:paraId="7760E1B8" w14:textId="77777777" w:rsidR="005E72EC" w:rsidRPr="002C2316" w:rsidRDefault="005E72EC" w:rsidP="004F0D35">
            <w:pPr>
              <w:spacing w:after="0" w:line="240" w:lineRule="auto"/>
              <w:jc w:val="center"/>
              <w:rPr>
                <w:rFonts w:ascii="Trebuchet MS" w:eastAsia="Times New Roman" w:hAnsi="Trebuchet MS" w:cs="Times New Roman"/>
                <w:b/>
                <w:bCs/>
                <w:color w:val="000000"/>
                <w:sz w:val="16"/>
                <w:szCs w:val="16"/>
                <w:lang w:eastAsia="en-GB"/>
              </w:rPr>
            </w:pPr>
            <w:r w:rsidRPr="002C2316">
              <w:rPr>
                <w:rFonts w:ascii="Trebuchet MS" w:eastAsia="Times New Roman" w:hAnsi="Trebuchet MS" w:cs="Times New Roman"/>
                <w:b/>
                <w:bCs/>
                <w:color w:val="000000"/>
                <w:sz w:val="16"/>
                <w:szCs w:val="16"/>
                <w:lang w:eastAsia="en-GB"/>
              </w:rPr>
              <w:t>LGI</w:t>
            </w:r>
          </w:p>
        </w:tc>
        <w:tc>
          <w:tcPr>
            <w:tcW w:w="728" w:type="dxa"/>
            <w:tcBorders>
              <w:top w:val="nil"/>
              <w:left w:val="single" w:sz="8" w:space="0" w:color="0070C0"/>
              <w:bottom w:val="single" w:sz="8" w:space="0" w:color="0070C0"/>
              <w:right w:val="nil"/>
            </w:tcBorders>
            <w:shd w:val="clear" w:color="auto" w:fill="auto"/>
            <w:noWrap/>
            <w:vAlign w:val="center"/>
            <w:hideMark/>
          </w:tcPr>
          <w:p w14:paraId="5AC03752" w14:textId="77777777" w:rsidR="005E72EC" w:rsidRPr="002C2316" w:rsidRDefault="005E72EC" w:rsidP="004F0D35">
            <w:pPr>
              <w:spacing w:after="0" w:line="240" w:lineRule="auto"/>
              <w:jc w:val="right"/>
              <w:rPr>
                <w:rFonts w:ascii="Trebuchet MS" w:eastAsia="Times New Roman" w:hAnsi="Trebuchet MS" w:cs="Arial"/>
                <w:color w:val="0070C0"/>
                <w:sz w:val="16"/>
                <w:szCs w:val="16"/>
                <w:lang w:eastAsia="en-GB"/>
              </w:rPr>
            </w:pPr>
            <w:r w:rsidRPr="002C2316">
              <w:rPr>
                <w:rFonts w:ascii="Trebuchet MS" w:eastAsia="Times New Roman" w:hAnsi="Trebuchet MS" w:cs="Arial"/>
                <w:color w:val="0070C0"/>
                <w:sz w:val="16"/>
                <w:szCs w:val="16"/>
                <w:lang w:eastAsia="en-GB"/>
              </w:rPr>
              <w:t>UK</w:t>
            </w:r>
          </w:p>
        </w:tc>
        <w:tc>
          <w:tcPr>
            <w:tcW w:w="1055" w:type="dxa"/>
            <w:tcBorders>
              <w:top w:val="nil"/>
              <w:left w:val="nil"/>
              <w:bottom w:val="single" w:sz="8" w:space="0" w:color="0070C0"/>
              <w:right w:val="nil"/>
            </w:tcBorders>
            <w:shd w:val="clear" w:color="auto" w:fill="auto"/>
            <w:noWrap/>
            <w:vAlign w:val="center"/>
            <w:hideMark/>
          </w:tcPr>
          <w:p w14:paraId="1B1718C9" w14:textId="77777777" w:rsidR="005E72EC" w:rsidRPr="002C2316" w:rsidRDefault="005E72EC" w:rsidP="004F0D35">
            <w:pPr>
              <w:spacing w:after="0" w:line="240" w:lineRule="auto"/>
              <w:jc w:val="right"/>
              <w:rPr>
                <w:rFonts w:ascii="Trebuchet MS" w:eastAsia="Times New Roman" w:hAnsi="Trebuchet MS" w:cs="Arial"/>
                <w:color w:val="0070C0"/>
                <w:sz w:val="16"/>
                <w:szCs w:val="16"/>
                <w:lang w:eastAsia="en-GB"/>
              </w:rPr>
            </w:pPr>
            <w:r w:rsidRPr="002C2316">
              <w:rPr>
                <w:rFonts w:ascii="Trebuchet MS" w:eastAsia="Times New Roman" w:hAnsi="Trebuchet MS" w:cs="Arial"/>
                <w:color w:val="0070C0"/>
                <w:sz w:val="16"/>
                <w:szCs w:val="16"/>
                <w:lang w:eastAsia="en-GB"/>
              </w:rPr>
              <w:t>Switzerland</w:t>
            </w:r>
          </w:p>
        </w:tc>
        <w:tc>
          <w:tcPr>
            <w:tcW w:w="751" w:type="dxa"/>
            <w:tcBorders>
              <w:top w:val="nil"/>
              <w:left w:val="nil"/>
              <w:bottom w:val="single" w:sz="8" w:space="0" w:color="0070C0"/>
              <w:right w:val="nil"/>
            </w:tcBorders>
            <w:shd w:val="clear" w:color="auto" w:fill="auto"/>
            <w:noWrap/>
            <w:vAlign w:val="center"/>
            <w:hideMark/>
          </w:tcPr>
          <w:p w14:paraId="601EA23F" w14:textId="77777777" w:rsidR="005E72EC" w:rsidRPr="002C2316" w:rsidRDefault="005E72EC" w:rsidP="004F0D35">
            <w:pPr>
              <w:spacing w:after="0" w:line="240" w:lineRule="auto"/>
              <w:jc w:val="right"/>
              <w:rPr>
                <w:rFonts w:ascii="Trebuchet MS" w:eastAsia="Times New Roman" w:hAnsi="Trebuchet MS" w:cs="Arial"/>
                <w:color w:val="0070C0"/>
                <w:sz w:val="16"/>
                <w:szCs w:val="16"/>
                <w:lang w:eastAsia="en-GB"/>
              </w:rPr>
            </w:pPr>
            <w:r w:rsidRPr="002C2316">
              <w:rPr>
                <w:rFonts w:ascii="Trebuchet MS" w:eastAsia="Times New Roman" w:hAnsi="Trebuchet MS" w:cs="Arial"/>
                <w:color w:val="0070C0"/>
                <w:sz w:val="16"/>
                <w:szCs w:val="16"/>
                <w:lang w:eastAsia="en-GB"/>
              </w:rPr>
              <w:t>South Africa</w:t>
            </w:r>
          </w:p>
        </w:tc>
        <w:tc>
          <w:tcPr>
            <w:tcW w:w="728" w:type="dxa"/>
            <w:tcBorders>
              <w:top w:val="nil"/>
              <w:left w:val="nil"/>
              <w:bottom w:val="single" w:sz="8" w:space="0" w:color="0070C0"/>
              <w:right w:val="nil"/>
            </w:tcBorders>
            <w:shd w:val="clear" w:color="auto" w:fill="auto"/>
            <w:noWrap/>
            <w:vAlign w:val="center"/>
            <w:hideMark/>
          </w:tcPr>
          <w:p w14:paraId="124332D1" w14:textId="77777777" w:rsidR="005E72EC" w:rsidRPr="002C2316" w:rsidRDefault="005E72EC" w:rsidP="004F0D35">
            <w:pPr>
              <w:spacing w:after="0" w:line="240" w:lineRule="auto"/>
              <w:jc w:val="right"/>
              <w:rPr>
                <w:rFonts w:ascii="Trebuchet MS" w:eastAsia="Times New Roman" w:hAnsi="Trebuchet MS" w:cs="Arial"/>
                <w:color w:val="0070C0"/>
                <w:sz w:val="16"/>
                <w:szCs w:val="16"/>
                <w:lang w:eastAsia="en-GB"/>
              </w:rPr>
            </w:pPr>
            <w:r w:rsidRPr="002C2316">
              <w:rPr>
                <w:rFonts w:ascii="Trebuchet MS" w:eastAsia="Times New Roman" w:hAnsi="Trebuchet MS" w:cs="Arial"/>
                <w:color w:val="0070C0"/>
                <w:sz w:val="16"/>
                <w:szCs w:val="16"/>
                <w:lang w:eastAsia="en-GB"/>
              </w:rPr>
              <w:t>EU</w:t>
            </w:r>
          </w:p>
        </w:tc>
        <w:tc>
          <w:tcPr>
            <w:tcW w:w="726" w:type="dxa"/>
            <w:tcBorders>
              <w:top w:val="nil"/>
              <w:left w:val="single" w:sz="8" w:space="0" w:color="0070C0"/>
              <w:bottom w:val="single" w:sz="8" w:space="0" w:color="0070C0"/>
              <w:right w:val="single" w:sz="8" w:space="0" w:color="0070C0"/>
            </w:tcBorders>
            <w:shd w:val="clear" w:color="auto" w:fill="auto"/>
            <w:noWrap/>
            <w:vAlign w:val="center"/>
            <w:hideMark/>
          </w:tcPr>
          <w:p w14:paraId="37012CEE" w14:textId="77777777" w:rsidR="005E72EC" w:rsidRPr="002C2316" w:rsidRDefault="005E72EC" w:rsidP="004F0D35">
            <w:pPr>
              <w:spacing w:after="0" w:line="240" w:lineRule="auto"/>
              <w:jc w:val="right"/>
              <w:rPr>
                <w:rFonts w:ascii="Trebuchet MS" w:eastAsia="Times New Roman" w:hAnsi="Trebuchet MS" w:cs="Arial"/>
                <w:color w:val="0070C0"/>
                <w:sz w:val="16"/>
                <w:szCs w:val="16"/>
                <w:lang w:eastAsia="en-GB"/>
              </w:rPr>
            </w:pPr>
            <w:r w:rsidRPr="002C2316">
              <w:rPr>
                <w:rFonts w:ascii="Trebuchet MS" w:eastAsia="Times New Roman" w:hAnsi="Trebuchet MS" w:cs="Arial"/>
                <w:color w:val="0070C0"/>
                <w:sz w:val="16"/>
                <w:szCs w:val="16"/>
                <w:lang w:eastAsia="en-GB"/>
              </w:rPr>
              <w:t>Total</w:t>
            </w:r>
          </w:p>
        </w:tc>
        <w:tc>
          <w:tcPr>
            <w:tcW w:w="1055" w:type="dxa"/>
            <w:tcBorders>
              <w:top w:val="nil"/>
              <w:left w:val="nil"/>
              <w:bottom w:val="single" w:sz="8" w:space="0" w:color="0070C0"/>
              <w:right w:val="nil"/>
            </w:tcBorders>
            <w:shd w:val="clear" w:color="auto" w:fill="auto"/>
            <w:noWrap/>
            <w:vAlign w:val="center"/>
            <w:hideMark/>
          </w:tcPr>
          <w:p w14:paraId="4325785C" w14:textId="77777777" w:rsidR="005E72EC" w:rsidRPr="002C2316" w:rsidRDefault="005E72EC" w:rsidP="004F0D35">
            <w:pPr>
              <w:spacing w:after="0" w:line="240" w:lineRule="auto"/>
              <w:jc w:val="right"/>
              <w:rPr>
                <w:rFonts w:ascii="Trebuchet MS" w:eastAsia="Times New Roman" w:hAnsi="Trebuchet MS" w:cs="Arial"/>
                <w:color w:val="0070C0"/>
                <w:sz w:val="16"/>
                <w:szCs w:val="16"/>
                <w:lang w:eastAsia="en-GB"/>
              </w:rPr>
            </w:pPr>
            <w:r w:rsidRPr="002C2316">
              <w:rPr>
                <w:rFonts w:ascii="Trebuchet MS" w:eastAsia="Times New Roman" w:hAnsi="Trebuchet MS" w:cs="Arial"/>
                <w:color w:val="0070C0"/>
                <w:sz w:val="16"/>
                <w:szCs w:val="16"/>
                <w:lang w:eastAsia="en-GB"/>
              </w:rPr>
              <w:t>UK</w:t>
            </w:r>
          </w:p>
        </w:tc>
        <w:tc>
          <w:tcPr>
            <w:tcW w:w="1055" w:type="dxa"/>
            <w:tcBorders>
              <w:top w:val="nil"/>
              <w:left w:val="nil"/>
              <w:bottom w:val="single" w:sz="8" w:space="0" w:color="0070C0"/>
              <w:right w:val="nil"/>
            </w:tcBorders>
            <w:shd w:val="clear" w:color="auto" w:fill="auto"/>
            <w:noWrap/>
            <w:vAlign w:val="center"/>
            <w:hideMark/>
          </w:tcPr>
          <w:p w14:paraId="0F87295B" w14:textId="77777777" w:rsidR="005E72EC" w:rsidRPr="002C2316" w:rsidRDefault="005E72EC" w:rsidP="004F0D35">
            <w:pPr>
              <w:spacing w:after="0" w:line="240" w:lineRule="auto"/>
              <w:jc w:val="right"/>
              <w:rPr>
                <w:rFonts w:ascii="Trebuchet MS" w:eastAsia="Times New Roman" w:hAnsi="Trebuchet MS" w:cs="Arial"/>
                <w:color w:val="0070C0"/>
                <w:sz w:val="16"/>
                <w:szCs w:val="16"/>
                <w:lang w:eastAsia="en-GB"/>
              </w:rPr>
            </w:pPr>
            <w:r w:rsidRPr="002C2316">
              <w:rPr>
                <w:rFonts w:ascii="Trebuchet MS" w:eastAsia="Times New Roman" w:hAnsi="Trebuchet MS" w:cs="Arial"/>
                <w:color w:val="0070C0"/>
                <w:sz w:val="16"/>
                <w:szCs w:val="16"/>
                <w:lang w:eastAsia="en-GB"/>
              </w:rPr>
              <w:t>Switzerland</w:t>
            </w:r>
          </w:p>
        </w:tc>
        <w:tc>
          <w:tcPr>
            <w:tcW w:w="751" w:type="dxa"/>
            <w:tcBorders>
              <w:top w:val="nil"/>
              <w:left w:val="nil"/>
              <w:bottom w:val="single" w:sz="8" w:space="0" w:color="0070C0"/>
              <w:right w:val="nil"/>
            </w:tcBorders>
            <w:shd w:val="clear" w:color="auto" w:fill="auto"/>
            <w:noWrap/>
            <w:vAlign w:val="center"/>
            <w:hideMark/>
          </w:tcPr>
          <w:p w14:paraId="4F4A49EC" w14:textId="77777777" w:rsidR="005E72EC" w:rsidRPr="002C2316" w:rsidRDefault="005E72EC" w:rsidP="004F0D35">
            <w:pPr>
              <w:spacing w:after="0" w:line="240" w:lineRule="auto"/>
              <w:jc w:val="right"/>
              <w:rPr>
                <w:rFonts w:ascii="Trebuchet MS" w:eastAsia="Times New Roman" w:hAnsi="Trebuchet MS" w:cs="Arial"/>
                <w:color w:val="0070C0"/>
                <w:sz w:val="16"/>
                <w:szCs w:val="16"/>
                <w:lang w:eastAsia="en-GB"/>
              </w:rPr>
            </w:pPr>
            <w:r w:rsidRPr="002C2316">
              <w:rPr>
                <w:rFonts w:ascii="Trebuchet MS" w:eastAsia="Times New Roman" w:hAnsi="Trebuchet MS" w:cs="Arial"/>
                <w:color w:val="0070C0"/>
                <w:sz w:val="16"/>
                <w:szCs w:val="16"/>
                <w:lang w:eastAsia="en-GB"/>
              </w:rPr>
              <w:t>South Africa</w:t>
            </w:r>
          </w:p>
        </w:tc>
        <w:tc>
          <w:tcPr>
            <w:tcW w:w="696" w:type="dxa"/>
            <w:tcBorders>
              <w:top w:val="nil"/>
              <w:left w:val="nil"/>
              <w:bottom w:val="single" w:sz="8" w:space="0" w:color="0070C0"/>
              <w:right w:val="nil"/>
            </w:tcBorders>
            <w:shd w:val="clear" w:color="auto" w:fill="auto"/>
            <w:noWrap/>
            <w:vAlign w:val="center"/>
            <w:hideMark/>
          </w:tcPr>
          <w:p w14:paraId="7002AF9C" w14:textId="77777777" w:rsidR="005E72EC" w:rsidRPr="002C2316" w:rsidRDefault="005E72EC" w:rsidP="004F0D35">
            <w:pPr>
              <w:spacing w:after="0" w:line="240" w:lineRule="auto"/>
              <w:jc w:val="right"/>
              <w:rPr>
                <w:rFonts w:ascii="Trebuchet MS" w:eastAsia="Times New Roman" w:hAnsi="Trebuchet MS" w:cs="Arial"/>
                <w:color w:val="0070C0"/>
                <w:sz w:val="16"/>
                <w:szCs w:val="16"/>
                <w:lang w:eastAsia="en-GB"/>
              </w:rPr>
            </w:pPr>
            <w:r w:rsidRPr="002C2316">
              <w:rPr>
                <w:rFonts w:ascii="Trebuchet MS" w:eastAsia="Times New Roman" w:hAnsi="Trebuchet MS" w:cs="Arial"/>
                <w:color w:val="0070C0"/>
                <w:sz w:val="16"/>
                <w:szCs w:val="16"/>
                <w:lang w:eastAsia="en-GB"/>
              </w:rPr>
              <w:t>EU</w:t>
            </w:r>
          </w:p>
        </w:tc>
        <w:tc>
          <w:tcPr>
            <w:tcW w:w="1348" w:type="dxa"/>
            <w:tcBorders>
              <w:top w:val="nil"/>
              <w:left w:val="single" w:sz="8" w:space="0" w:color="0070C0"/>
              <w:bottom w:val="single" w:sz="8" w:space="0" w:color="0070C0"/>
              <w:right w:val="single" w:sz="8" w:space="0" w:color="0070C0"/>
            </w:tcBorders>
            <w:shd w:val="clear" w:color="auto" w:fill="auto"/>
            <w:noWrap/>
            <w:vAlign w:val="center"/>
            <w:hideMark/>
          </w:tcPr>
          <w:p w14:paraId="3217DB73" w14:textId="77777777" w:rsidR="005E72EC" w:rsidRPr="002C2316" w:rsidRDefault="005E72EC" w:rsidP="004F0D35">
            <w:pPr>
              <w:spacing w:after="0" w:line="240" w:lineRule="auto"/>
              <w:jc w:val="right"/>
              <w:rPr>
                <w:rFonts w:ascii="Trebuchet MS" w:eastAsia="Times New Roman" w:hAnsi="Trebuchet MS" w:cs="Arial"/>
                <w:color w:val="0070C0"/>
                <w:sz w:val="16"/>
                <w:szCs w:val="16"/>
                <w:lang w:eastAsia="en-GB"/>
              </w:rPr>
            </w:pPr>
            <w:r w:rsidRPr="002C2316">
              <w:rPr>
                <w:rFonts w:ascii="Trebuchet MS" w:eastAsia="Times New Roman" w:hAnsi="Trebuchet MS" w:cs="Arial"/>
                <w:color w:val="0070C0"/>
                <w:sz w:val="16"/>
                <w:szCs w:val="16"/>
                <w:lang w:eastAsia="en-GB"/>
              </w:rPr>
              <w:t>Total</w:t>
            </w:r>
          </w:p>
        </w:tc>
      </w:tr>
      <w:tr w:rsidR="005E72EC" w:rsidRPr="002C2316" w14:paraId="54A6E7FB" w14:textId="77777777" w:rsidTr="00485908">
        <w:trPr>
          <w:trHeight w:val="241"/>
        </w:trPr>
        <w:tc>
          <w:tcPr>
            <w:tcW w:w="1485" w:type="dxa"/>
            <w:tcBorders>
              <w:top w:val="single" w:sz="8" w:space="0" w:color="0070C0"/>
              <w:left w:val="single" w:sz="8" w:space="0" w:color="0070C0"/>
              <w:bottom w:val="single" w:sz="8" w:space="0" w:color="0070C0"/>
              <w:right w:val="single" w:sz="8" w:space="0" w:color="0070C0"/>
            </w:tcBorders>
            <w:shd w:val="clear" w:color="auto" w:fill="auto"/>
            <w:noWrap/>
            <w:vAlign w:val="center"/>
            <w:hideMark/>
          </w:tcPr>
          <w:p w14:paraId="40276F43" w14:textId="77777777" w:rsidR="005E72EC" w:rsidRPr="002C2316" w:rsidRDefault="005E72EC" w:rsidP="004F0D35">
            <w:pPr>
              <w:spacing w:after="0" w:line="240" w:lineRule="auto"/>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Claims Provision</w:t>
            </w:r>
          </w:p>
        </w:tc>
        <w:tc>
          <w:tcPr>
            <w:tcW w:w="728" w:type="dxa"/>
            <w:tcBorders>
              <w:top w:val="nil"/>
              <w:left w:val="nil"/>
              <w:bottom w:val="single" w:sz="8" w:space="0" w:color="0070C0"/>
              <w:right w:val="nil"/>
            </w:tcBorders>
            <w:shd w:val="clear" w:color="auto" w:fill="auto"/>
            <w:noWrap/>
            <w:vAlign w:val="center"/>
            <w:hideMark/>
          </w:tcPr>
          <w:p w14:paraId="43E446C4"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576</w:t>
            </w:r>
          </w:p>
        </w:tc>
        <w:tc>
          <w:tcPr>
            <w:tcW w:w="1055" w:type="dxa"/>
            <w:tcBorders>
              <w:top w:val="nil"/>
              <w:left w:val="nil"/>
              <w:bottom w:val="single" w:sz="8" w:space="0" w:color="0070C0"/>
              <w:right w:val="nil"/>
            </w:tcBorders>
            <w:shd w:val="clear" w:color="auto" w:fill="auto"/>
            <w:noWrap/>
            <w:vAlign w:val="center"/>
            <w:hideMark/>
          </w:tcPr>
          <w:p w14:paraId="277B967C"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0</w:t>
            </w:r>
          </w:p>
        </w:tc>
        <w:tc>
          <w:tcPr>
            <w:tcW w:w="751" w:type="dxa"/>
            <w:tcBorders>
              <w:top w:val="nil"/>
              <w:left w:val="nil"/>
              <w:bottom w:val="single" w:sz="8" w:space="0" w:color="0070C0"/>
              <w:right w:val="nil"/>
            </w:tcBorders>
            <w:shd w:val="clear" w:color="auto" w:fill="auto"/>
            <w:noWrap/>
            <w:vAlign w:val="center"/>
            <w:hideMark/>
          </w:tcPr>
          <w:p w14:paraId="4B48DF40"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0</w:t>
            </w:r>
          </w:p>
        </w:tc>
        <w:tc>
          <w:tcPr>
            <w:tcW w:w="728" w:type="dxa"/>
            <w:tcBorders>
              <w:top w:val="nil"/>
              <w:left w:val="nil"/>
              <w:bottom w:val="single" w:sz="8" w:space="0" w:color="0070C0"/>
              <w:right w:val="nil"/>
            </w:tcBorders>
            <w:shd w:val="clear" w:color="auto" w:fill="auto"/>
            <w:noWrap/>
            <w:vAlign w:val="center"/>
            <w:hideMark/>
          </w:tcPr>
          <w:p w14:paraId="45A969AD"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85</w:t>
            </w:r>
          </w:p>
        </w:tc>
        <w:tc>
          <w:tcPr>
            <w:tcW w:w="726" w:type="dxa"/>
            <w:tcBorders>
              <w:top w:val="nil"/>
              <w:left w:val="single" w:sz="8" w:space="0" w:color="0070C0"/>
              <w:bottom w:val="single" w:sz="8" w:space="0" w:color="0070C0"/>
              <w:right w:val="single" w:sz="8" w:space="0" w:color="0070C0"/>
            </w:tcBorders>
            <w:shd w:val="clear" w:color="auto" w:fill="auto"/>
            <w:noWrap/>
            <w:vAlign w:val="center"/>
            <w:hideMark/>
          </w:tcPr>
          <w:p w14:paraId="0F47DA02"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661</w:t>
            </w:r>
          </w:p>
        </w:tc>
        <w:tc>
          <w:tcPr>
            <w:tcW w:w="1055" w:type="dxa"/>
            <w:tcBorders>
              <w:top w:val="nil"/>
              <w:left w:val="nil"/>
              <w:bottom w:val="single" w:sz="8" w:space="0" w:color="0070C0"/>
              <w:right w:val="nil"/>
            </w:tcBorders>
            <w:shd w:val="clear" w:color="auto" w:fill="auto"/>
            <w:noWrap/>
            <w:vAlign w:val="center"/>
            <w:hideMark/>
          </w:tcPr>
          <w:p w14:paraId="52832F21"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576</w:t>
            </w:r>
          </w:p>
        </w:tc>
        <w:tc>
          <w:tcPr>
            <w:tcW w:w="1055" w:type="dxa"/>
            <w:tcBorders>
              <w:top w:val="nil"/>
              <w:left w:val="nil"/>
              <w:bottom w:val="single" w:sz="8" w:space="0" w:color="0070C0"/>
              <w:right w:val="nil"/>
            </w:tcBorders>
            <w:shd w:val="clear" w:color="auto" w:fill="auto"/>
            <w:noWrap/>
            <w:vAlign w:val="center"/>
            <w:hideMark/>
          </w:tcPr>
          <w:p w14:paraId="0DB3EBDE"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0</w:t>
            </w:r>
          </w:p>
        </w:tc>
        <w:tc>
          <w:tcPr>
            <w:tcW w:w="751" w:type="dxa"/>
            <w:tcBorders>
              <w:top w:val="nil"/>
              <w:left w:val="nil"/>
              <w:bottom w:val="single" w:sz="8" w:space="0" w:color="0070C0"/>
              <w:right w:val="nil"/>
            </w:tcBorders>
            <w:shd w:val="clear" w:color="auto" w:fill="auto"/>
            <w:noWrap/>
            <w:vAlign w:val="center"/>
            <w:hideMark/>
          </w:tcPr>
          <w:p w14:paraId="4A6C662F"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0</w:t>
            </w:r>
          </w:p>
        </w:tc>
        <w:tc>
          <w:tcPr>
            <w:tcW w:w="696" w:type="dxa"/>
            <w:tcBorders>
              <w:top w:val="nil"/>
              <w:left w:val="nil"/>
              <w:bottom w:val="single" w:sz="8" w:space="0" w:color="0070C0"/>
              <w:right w:val="nil"/>
            </w:tcBorders>
            <w:shd w:val="clear" w:color="auto" w:fill="auto"/>
            <w:noWrap/>
            <w:vAlign w:val="center"/>
            <w:hideMark/>
          </w:tcPr>
          <w:p w14:paraId="3B98FE4E"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0</w:t>
            </w:r>
          </w:p>
        </w:tc>
        <w:tc>
          <w:tcPr>
            <w:tcW w:w="1348" w:type="dxa"/>
            <w:tcBorders>
              <w:top w:val="nil"/>
              <w:left w:val="single" w:sz="8" w:space="0" w:color="0070C0"/>
              <w:bottom w:val="single" w:sz="8" w:space="0" w:color="0070C0"/>
              <w:right w:val="single" w:sz="8" w:space="0" w:color="0070C0"/>
            </w:tcBorders>
            <w:shd w:val="clear" w:color="auto" w:fill="auto"/>
            <w:noWrap/>
            <w:vAlign w:val="center"/>
            <w:hideMark/>
          </w:tcPr>
          <w:p w14:paraId="7760B905"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576</w:t>
            </w:r>
          </w:p>
        </w:tc>
      </w:tr>
      <w:tr w:rsidR="005E72EC" w:rsidRPr="002C2316" w14:paraId="752D4368" w14:textId="77777777" w:rsidTr="00485908">
        <w:trPr>
          <w:trHeight w:val="241"/>
        </w:trPr>
        <w:tc>
          <w:tcPr>
            <w:tcW w:w="1485" w:type="dxa"/>
            <w:tcBorders>
              <w:top w:val="nil"/>
              <w:left w:val="single" w:sz="8" w:space="0" w:color="0070C0"/>
              <w:bottom w:val="single" w:sz="8" w:space="0" w:color="0070C0"/>
              <w:right w:val="single" w:sz="8" w:space="0" w:color="0070C0"/>
            </w:tcBorders>
            <w:shd w:val="clear" w:color="auto" w:fill="auto"/>
            <w:noWrap/>
            <w:vAlign w:val="center"/>
            <w:hideMark/>
          </w:tcPr>
          <w:p w14:paraId="221E6911" w14:textId="77777777" w:rsidR="005E72EC" w:rsidRPr="002C2316" w:rsidRDefault="005E72EC" w:rsidP="004F0D35">
            <w:pPr>
              <w:spacing w:after="0" w:line="240" w:lineRule="auto"/>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Premium Provision</w:t>
            </w:r>
          </w:p>
        </w:tc>
        <w:tc>
          <w:tcPr>
            <w:tcW w:w="728" w:type="dxa"/>
            <w:tcBorders>
              <w:top w:val="nil"/>
              <w:left w:val="nil"/>
              <w:bottom w:val="single" w:sz="8" w:space="0" w:color="0070C0"/>
              <w:right w:val="nil"/>
            </w:tcBorders>
            <w:shd w:val="clear" w:color="auto" w:fill="auto"/>
            <w:noWrap/>
            <w:vAlign w:val="center"/>
            <w:hideMark/>
          </w:tcPr>
          <w:p w14:paraId="03B185B3"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4,952</w:t>
            </w:r>
          </w:p>
        </w:tc>
        <w:tc>
          <w:tcPr>
            <w:tcW w:w="1055" w:type="dxa"/>
            <w:tcBorders>
              <w:top w:val="nil"/>
              <w:left w:val="nil"/>
              <w:bottom w:val="single" w:sz="8" w:space="0" w:color="0070C0"/>
              <w:right w:val="nil"/>
            </w:tcBorders>
            <w:shd w:val="clear" w:color="auto" w:fill="auto"/>
            <w:noWrap/>
            <w:vAlign w:val="center"/>
            <w:hideMark/>
          </w:tcPr>
          <w:p w14:paraId="4C62D34F"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0</w:t>
            </w:r>
          </w:p>
        </w:tc>
        <w:tc>
          <w:tcPr>
            <w:tcW w:w="751" w:type="dxa"/>
            <w:tcBorders>
              <w:top w:val="nil"/>
              <w:left w:val="nil"/>
              <w:bottom w:val="single" w:sz="8" w:space="0" w:color="0070C0"/>
              <w:right w:val="nil"/>
            </w:tcBorders>
            <w:shd w:val="clear" w:color="auto" w:fill="auto"/>
            <w:noWrap/>
            <w:vAlign w:val="center"/>
            <w:hideMark/>
          </w:tcPr>
          <w:p w14:paraId="065148C8"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FF0000"/>
                <w:sz w:val="16"/>
                <w:szCs w:val="16"/>
                <w:lang w:eastAsia="en-GB"/>
              </w:rPr>
              <w:t>(7)</w:t>
            </w:r>
          </w:p>
        </w:tc>
        <w:tc>
          <w:tcPr>
            <w:tcW w:w="728" w:type="dxa"/>
            <w:tcBorders>
              <w:top w:val="nil"/>
              <w:left w:val="nil"/>
              <w:bottom w:val="single" w:sz="8" w:space="0" w:color="0070C0"/>
              <w:right w:val="nil"/>
            </w:tcBorders>
            <w:shd w:val="clear" w:color="auto" w:fill="auto"/>
            <w:noWrap/>
            <w:vAlign w:val="center"/>
            <w:hideMark/>
          </w:tcPr>
          <w:p w14:paraId="7761D447"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FF0000"/>
                <w:sz w:val="16"/>
                <w:szCs w:val="16"/>
                <w:lang w:eastAsia="en-GB"/>
              </w:rPr>
              <w:t>(396)</w:t>
            </w:r>
          </w:p>
        </w:tc>
        <w:tc>
          <w:tcPr>
            <w:tcW w:w="726" w:type="dxa"/>
            <w:tcBorders>
              <w:top w:val="nil"/>
              <w:left w:val="single" w:sz="8" w:space="0" w:color="0070C0"/>
              <w:bottom w:val="single" w:sz="8" w:space="0" w:color="0070C0"/>
              <w:right w:val="single" w:sz="8" w:space="0" w:color="0070C0"/>
            </w:tcBorders>
            <w:shd w:val="clear" w:color="auto" w:fill="auto"/>
            <w:noWrap/>
            <w:vAlign w:val="center"/>
            <w:hideMark/>
          </w:tcPr>
          <w:p w14:paraId="7F19ADC3"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4,550</w:t>
            </w:r>
          </w:p>
        </w:tc>
        <w:tc>
          <w:tcPr>
            <w:tcW w:w="1055" w:type="dxa"/>
            <w:tcBorders>
              <w:top w:val="nil"/>
              <w:left w:val="nil"/>
              <w:bottom w:val="single" w:sz="8" w:space="0" w:color="0070C0"/>
              <w:right w:val="nil"/>
            </w:tcBorders>
            <w:shd w:val="clear" w:color="auto" w:fill="auto"/>
            <w:noWrap/>
            <w:vAlign w:val="center"/>
            <w:hideMark/>
          </w:tcPr>
          <w:p w14:paraId="172C095A"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4,952</w:t>
            </w:r>
          </w:p>
        </w:tc>
        <w:tc>
          <w:tcPr>
            <w:tcW w:w="1055" w:type="dxa"/>
            <w:tcBorders>
              <w:top w:val="nil"/>
              <w:left w:val="nil"/>
              <w:bottom w:val="single" w:sz="8" w:space="0" w:color="0070C0"/>
              <w:right w:val="nil"/>
            </w:tcBorders>
            <w:shd w:val="clear" w:color="auto" w:fill="auto"/>
            <w:noWrap/>
            <w:vAlign w:val="center"/>
            <w:hideMark/>
          </w:tcPr>
          <w:p w14:paraId="0F6F90BF"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0</w:t>
            </w:r>
          </w:p>
        </w:tc>
        <w:tc>
          <w:tcPr>
            <w:tcW w:w="751" w:type="dxa"/>
            <w:tcBorders>
              <w:top w:val="nil"/>
              <w:left w:val="nil"/>
              <w:bottom w:val="single" w:sz="8" w:space="0" w:color="0070C0"/>
              <w:right w:val="nil"/>
            </w:tcBorders>
            <w:shd w:val="clear" w:color="auto" w:fill="auto"/>
            <w:noWrap/>
            <w:vAlign w:val="center"/>
            <w:hideMark/>
          </w:tcPr>
          <w:p w14:paraId="4610BB10"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FF0000"/>
                <w:sz w:val="16"/>
                <w:szCs w:val="16"/>
                <w:lang w:eastAsia="en-GB"/>
              </w:rPr>
              <w:t>(7)</w:t>
            </w:r>
          </w:p>
        </w:tc>
        <w:tc>
          <w:tcPr>
            <w:tcW w:w="696" w:type="dxa"/>
            <w:tcBorders>
              <w:top w:val="nil"/>
              <w:left w:val="nil"/>
              <w:bottom w:val="single" w:sz="8" w:space="0" w:color="0070C0"/>
              <w:right w:val="nil"/>
            </w:tcBorders>
            <w:shd w:val="clear" w:color="auto" w:fill="auto"/>
            <w:noWrap/>
            <w:vAlign w:val="center"/>
            <w:hideMark/>
          </w:tcPr>
          <w:p w14:paraId="0AE54030"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0</w:t>
            </w:r>
          </w:p>
        </w:tc>
        <w:tc>
          <w:tcPr>
            <w:tcW w:w="1348" w:type="dxa"/>
            <w:tcBorders>
              <w:top w:val="nil"/>
              <w:left w:val="single" w:sz="8" w:space="0" w:color="0070C0"/>
              <w:bottom w:val="single" w:sz="8" w:space="0" w:color="0070C0"/>
              <w:right w:val="single" w:sz="8" w:space="0" w:color="0070C0"/>
            </w:tcBorders>
            <w:shd w:val="clear" w:color="auto" w:fill="auto"/>
            <w:noWrap/>
            <w:vAlign w:val="center"/>
            <w:hideMark/>
          </w:tcPr>
          <w:p w14:paraId="17DC3015"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4,945</w:t>
            </w:r>
          </w:p>
        </w:tc>
      </w:tr>
      <w:tr w:rsidR="005E72EC" w:rsidRPr="002C2316" w14:paraId="3F939DEE" w14:textId="77777777" w:rsidTr="00485908">
        <w:trPr>
          <w:trHeight w:val="222"/>
        </w:trPr>
        <w:tc>
          <w:tcPr>
            <w:tcW w:w="1485" w:type="dxa"/>
            <w:tcBorders>
              <w:top w:val="nil"/>
              <w:left w:val="single" w:sz="8" w:space="0" w:color="0070C0"/>
              <w:bottom w:val="single" w:sz="8" w:space="0" w:color="0070C0"/>
              <w:right w:val="single" w:sz="8" w:space="0" w:color="0070C0"/>
            </w:tcBorders>
            <w:shd w:val="clear" w:color="auto" w:fill="auto"/>
            <w:noWrap/>
            <w:vAlign w:val="center"/>
            <w:hideMark/>
          </w:tcPr>
          <w:p w14:paraId="647FEC4F" w14:textId="77777777" w:rsidR="005E72EC" w:rsidRPr="002C2316" w:rsidRDefault="005E72EC" w:rsidP="004F0D35">
            <w:pPr>
              <w:spacing w:after="0" w:line="240" w:lineRule="auto"/>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Total</w:t>
            </w:r>
          </w:p>
        </w:tc>
        <w:tc>
          <w:tcPr>
            <w:tcW w:w="728" w:type="dxa"/>
            <w:tcBorders>
              <w:top w:val="nil"/>
              <w:left w:val="nil"/>
              <w:bottom w:val="single" w:sz="8" w:space="0" w:color="0070C0"/>
              <w:right w:val="nil"/>
            </w:tcBorders>
            <w:shd w:val="clear" w:color="auto" w:fill="auto"/>
            <w:noWrap/>
            <w:vAlign w:val="center"/>
            <w:hideMark/>
          </w:tcPr>
          <w:p w14:paraId="1A997289"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5,528</w:t>
            </w:r>
          </w:p>
        </w:tc>
        <w:tc>
          <w:tcPr>
            <w:tcW w:w="1055" w:type="dxa"/>
            <w:tcBorders>
              <w:top w:val="nil"/>
              <w:left w:val="nil"/>
              <w:bottom w:val="single" w:sz="8" w:space="0" w:color="0070C0"/>
              <w:right w:val="nil"/>
            </w:tcBorders>
            <w:shd w:val="clear" w:color="auto" w:fill="auto"/>
            <w:noWrap/>
            <w:vAlign w:val="center"/>
            <w:hideMark/>
          </w:tcPr>
          <w:p w14:paraId="0BCBB176"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0</w:t>
            </w:r>
          </w:p>
        </w:tc>
        <w:tc>
          <w:tcPr>
            <w:tcW w:w="751" w:type="dxa"/>
            <w:tcBorders>
              <w:top w:val="nil"/>
              <w:left w:val="nil"/>
              <w:bottom w:val="single" w:sz="8" w:space="0" w:color="0070C0"/>
              <w:right w:val="nil"/>
            </w:tcBorders>
            <w:shd w:val="clear" w:color="auto" w:fill="auto"/>
            <w:noWrap/>
            <w:vAlign w:val="center"/>
            <w:hideMark/>
          </w:tcPr>
          <w:p w14:paraId="2063BE7B"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FF0000"/>
                <w:sz w:val="16"/>
                <w:szCs w:val="16"/>
                <w:lang w:eastAsia="en-GB"/>
              </w:rPr>
              <w:t>(7)</w:t>
            </w:r>
          </w:p>
        </w:tc>
        <w:tc>
          <w:tcPr>
            <w:tcW w:w="728" w:type="dxa"/>
            <w:tcBorders>
              <w:top w:val="nil"/>
              <w:left w:val="nil"/>
              <w:bottom w:val="single" w:sz="8" w:space="0" w:color="0070C0"/>
              <w:right w:val="nil"/>
            </w:tcBorders>
            <w:shd w:val="clear" w:color="auto" w:fill="auto"/>
            <w:noWrap/>
            <w:vAlign w:val="center"/>
            <w:hideMark/>
          </w:tcPr>
          <w:p w14:paraId="2D8F3A85"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FF0000"/>
                <w:sz w:val="16"/>
                <w:szCs w:val="16"/>
                <w:lang w:eastAsia="en-GB"/>
              </w:rPr>
              <w:t>(311)</w:t>
            </w:r>
          </w:p>
        </w:tc>
        <w:tc>
          <w:tcPr>
            <w:tcW w:w="726" w:type="dxa"/>
            <w:tcBorders>
              <w:top w:val="nil"/>
              <w:left w:val="single" w:sz="8" w:space="0" w:color="0070C0"/>
              <w:bottom w:val="single" w:sz="8" w:space="0" w:color="0070C0"/>
              <w:right w:val="single" w:sz="8" w:space="0" w:color="0070C0"/>
            </w:tcBorders>
            <w:shd w:val="clear" w:color="auto" w:fill="auto"/>
            <w:noWrap/>
            <w:vAlign w:val="center"/>
            <w:hideMark/>
          </w:tcPr>
          <w:p w14:paraId="6AC4BEE1"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5,211</w:t>
            </w:r>
          </w:p>
        </w:tc>
        <w:tc>
          <w:tcPr>
            <w:tcW w:w="1055" w:type="dxa"/>
            <w:tcBorders>
              <w:top w:val="nil"/>
              <w:left w:val="nil"/>
              <w:bottom w:val="single" w:sz="8" w:space="0" w:color="0070C0"/>
              <w:right w:val="nil"/>
            </w:tcBorders>
            <w:shd w:val="clear" w:color="auto" w:fill="auto"/>
            <w:noWrap/>
            <w:vAlign w:val="center"/>
            <w:hideMark/>
          </w:tcPr>
          <w:p w14:paraId="18DBB148"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5,528</w:t>
            </w:r>
          </w:p>
        </w:tc>
        <w:tc>
          <w:tcPr>
            <w:tcW w:w="1055" w:type="dxa"/>
            <w:tcBorders>
              <w:top w:val="nil"/>
              <w:left w:val="nil"/>
              <w:bottom w:val="single" w:sz="8" w:space="0" w:color="0070C0"/>
              <w:right w:val="nil"/>
            </w:tcBorders>
            <w:shd w:val="clear" w:color="auto" w:fill="auto"/>
            <w:noWrap/>
            <w:vAlign w:val="center"/>
            <w:hideMark/>
          </w:tcPr>
          <w:p w14:paraId="3F2CCE14"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0</w:t>
            </w:r>
          </w:p>
        </w:tc>
        <w:tc>
          <w:tcPr>
            <w:tcW w:w="751" w:type="dxa"/>
            <w:tcBorders>
              <w:top w:val="nil"/>
              <w:left w:val="nil"/>
              <w:bottom w:val="single" w:sz="8" w:space="0" w:color="0070C0"/>
              <w:right w:val="nil"/>
            </w:tcBorders>
            <w:shd w:val="clear" w:color="auto" w:fill="auto"/>
            <w:noWrap/>
            <w:vAlign w:val="center"/>
            <w:hideMark/>
          </w:tcPr>
          <w:p w14:paraId="34EAB493"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FF0000"/>
                <w:sz w:val="16"/>
                <w:szCs w:val="16"/>
                <w:lang w:eastAsia="en-GB"/>
              </w:rPr>
              <w:t>(7)</w:t>
            </w:r>
          </w:p>
        </w:tc>
        <w:tc>
          <w:tcPr>
            <w:tcW w:w="696" w:type="dxa"/>
            <w:tcBorders>
              <w:top w:val="nil"/>
              <w:left w:val="nil"/>
              <w:bottom w:val="single" w:sz="8" w:space="0" w:color="0070C0"/>
              <w:right w:val="nil"/>
            </w:tcBorders>
            <w:shd w:val="clear" w:color="auto" w:fill="auto"/>
            <w:noWrap/>
            <w:vAlign w:val="center"/>
            <w:hideMark/>
          </w:tcPr>
          <w:p w14:paraId="2B1E470B"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0</w:t>
            </w:r>
          </w:p>
        </w:tc>
        <w:tc>
          <w:tcPr>
            <w:tcW w:w="1348" w:type="dxa"/>
            <w:tcBorders>
              <w:top w:val="nil"/>
              <w:left w:val="single" w:sz="8" w:space="0" w:color="0070C0"/>
              <w:bottom w:val="single" w:sz="8" w:space="0" w:color="0070C0"/>
              <w:right w:val="single" w:sz="8" w:space="0" w:color="0070C0"/>
            </w:tcBorders>
            <w:shd w:val="clear" w:color="auto" w:fill="auto"/>
            <w:noWrap/>
            <w:vAlign w:val="center"/>
            <w:hideMark/>
          </w:tcPr>
          <w:p w14:paraId="43982A17"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5,521</w:t>
            </w:r>
          </w:p>
        </w:tc>
      </w:tr>
      <w:tr w:rsidR="005E72EC" w:rsidRPr="002C2316" w14:paraId="590DF71D" w14:textId="77777777" w:rsidTr="00485908">
        <w:trPr>
          <w:trHeight w:val="232"/>
        </w:trPr>
        <w:tc>
          <w:tcPr>
            <w:tcW w:w="1485" w:type="dxa"/>
            <w:tcBorders>
              <w:top w:val="nil"/>
              <w:left w:val="nil"/>
              <w:bottom w:val="nil"/>
              <w:right w:val="nil"/>
            </w:tcBorders>
            <w:shd w:val="clear" w:color="auto" w:fill="auto"/>
            <w:noWrap/>
            <w:vAlign w:val="bottom"/>
            <w:hideMark/>
          </w:tcPr>
          <w:p w14:paraId="1D1E8AAE"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p>
        </w:tc>
        <w:tc>
          <w:tcPr>
            <w:tcW w:w="728" w:type="dxa"/>
            <w:tcBorders>
              <w:top w:val="nil"/>
              <w:left w:val="nil"/>
              <w:bottom w:val="nil"/>
              <w:right w:val="nil"/>
            </w:tcBorders>
            <w:shd w:val="clear" w:color="auto" w:fill="auto"/>
            <w:noWrap/>
            <w:vAlign w:val="bottom"/>
            <w:hideMark/>
          </w:tcPr>
          <w:p w14:paraId="37BAF92C"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c>
          <w:tcPr>
            <w:tcW w:w="1055" w:type="dxa"/>
            <w:tcBorders>
              <w:top w:val="nil"/>
              <w:left w:val="nil"/>
              <w:bottom w:val="nil"/>
              <w:right w:val="nil"/>
            </w:tcBorders>
            <w:shd w:val="clear" w:color="auto" w:fill="auto"/>
            <w:noWrap/>
            <w:vAlign w:val="bottom"/>
            <w:hideMark/>
          </w:tcPr>
          <w:p w14:paraId="1AF5DD29"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c>
          <w:tcPr>
            <w:tcW w:w="751" w:type="dxa"/>
            <w:tcBorders>
              <w:top w:val="nil"/>
              <w:left w:val="nil"/>
              <w:bottom w:val="nil"/>
              <w:right w:val="nil"/>
            </w:tcBorders>
            <w:shd w:val="clear" w:color="auto" w:fill="auto"/>
            <w:noWrap/>
            <w:vAlign w:val="bottom"/>
            <w:hideMark/>
          </w:tcPr>
          <w:p w14:paraId="65322F01"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c>
          <w:tcPr>
            <w:tcW w:w="728" w:type="dxa"/>
            <w:tcBorders>
              <w:top w:val="nil"/>
              <w:left w:val="nil"/>
              <w:bottom w:val="nil"/>
              <w:right w:val="nil"/>
            </w:tcBorders>
            <w:shd w:val="clear" w:color="auto" w:fill="auto"/>
            <w:noWrap/>
            <w:vAlign w:val="bottom"/>
            <w:hideMark/>
          </w:tcPr>
          <w:p w14:paraId="514233A5"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c>
          <w:tcPr>
            <w:tcW w:w="726" w:type="dxa"/>
            <w:tcBorders>
              <w:top w:val="nil"/>
              <w:left w:val="nil"/>
              <w:bottom w:val="nil"/>
              <w:right w:val="nil"/>
            </w:tcBorders>
            <w:shd w:val="clear" w:color="auto" w:fill="auto"/>
            <w:noWrap/>
            <w:vAlign w:val="bottom"/>
            <w:hideMark/>
          </w:tcPr>
          <w:p w14:paraId="73C42B90"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c>
          <w:tcPr>
            <w:tcW w:w="1055" w:type="dxa"/>
            <w:tcBorders>
              <w:top w:val="nil"/>
              <w:left w:val="nil"/>
              <w:bottom w:val="nil"/>
              <w:right w:val="nil"/>
            </w:tcBorders>
            <w:shd w:val="clear" w:color="auto" w:fill="auto"/>
            <w:noWrap/>
            <w:vAlign w:val="bottom"/>
            <w:hideMark/>
          </w:tcPr>
          <w:p w14:paraId="47C81F5C"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c>
          <w:tcPr>
            <w:tcW w:w="1055" w:type="dxa"/>
            <w:tcBorders>
              <w:top w:val="nil"/>
              <w:left w:val="nil"/>
              <w:bottom w:val="nil"/>
              <w:right w:val="nil"/>
            </w:tcBorders>
            <w:shd w:val="clear" w:color="auto" w:fill="auto"/>
            <w:noWrap/>
            <w:vAlign w:val="bottom"/>
            <w:hideMark/>
          </w:tcPr>
          <w:p w14:paraId="6367E390"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c>
          <w:tcPr>
            <w:tcW w:w="751" w:type="dxa"/>
            <w:tcBorders>
              <w:top w:val="nil"/>
              <w:left w:val="nil"/>
              <w:bottom w:val="nil"/>
              <w:right w:val="nil"/>
            </w:tcBorders>
            <w:shd w:val="clear" w:color="auto" w:fill="auto"/>
            <w:noWrap/>
            <w:vAlign w:val="bottom"/>
            <w:hideMark/>
          </w:tcPr>
          <w:p w14:paraId="2391EEAB"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c>
          <w:tcPr>
            <w:tcW w:w="696" w:type="dxa"/>
            <w:tcBorders>
              <w:top w:val="nil"/>
              <w:left w:val="nil"/>
              <w:bottom w:val="nil"/>
              <w:right w:val="nil"/>
            </w:tcBorders>
            <w:shd w:val="clear" w:color="auto" w:fill="auto"/>
            <w:noWrap/>
            <w:vAlign w:val="bottom"/>
            <w:hideMark/>
          </w:tcPr>
          <w:p w14:paraId="307DEA6B"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c>
          <w:tcPr>
            <w:tcW w:w="1348" w:type="dxa"/>
            <w:tcBorders>
              <w:top w:val="nil"/>
              <w:left w:val="nil"/>
              <w:bottom w:val="nil"/>
              <w:right w:val="nil"/>
            </w:tcBorders>
            <w:shd w:val="clear" w:color="auto" w:fill="auto"/>
            <w:noWrap/>
            <w:vAlign w:val="bottom"/>
            <w:hideMark/>
          </w:tcPr>
          <w:p w14:paraId="6996CB9B"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r>
      <w:tr w:rsidR="005E72EC" w:rsidRPr="002C2316" w14:paraId="1EC0AD6F" w14:textId="77777777" w:rsidTr="00485908">
        <w:trPr>
          <w:trHeight w:val="241"/>
        </w:trPr>
        <w:tc>
          <w:tcPr>
            <w:tcW w:w="1485" w:type="dxa"/>
            <w:tcBorders>
              <w:top w:val="nil"/>
              <w:left w:val="nil"/>
              <w:bottom w:val="nil"/>
              <w:right w:val="nil"/>
            </w:tcBorders>
            <w:shd w:val="clear" w:color="auto" w:fill="auto"/>
            <w:noWrap/>
            <w:vAlign w:val="bottom"/>
            <w:hideMark/>
          </w:tcPr>
          <w:p w14:paraId="25810C8C"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c>
          <w:tcPr>
            <w:tcW w:w="2534" w:type="dxa"/>
            <w:gridSpan w:val="3"/>
            <w:tcBorders>
              <w:top w:val="single" w:sz="8" w:space="0" w:color="0070C0"/>
              <w:left w:val="single" w:sz="8" w:space="0" w:color="0070C0"/>
              <w:bottom w:val="single" w:sz="8" w:space="0" w:color="0070C0"/>
              <w:right w:val="nil"/>
            </w:tcBorders>
            <w:shd w:val="clear" w:color="auto" w:fill="auto"/>
            <w:noWrap/>
            <w:vAlign w:val="center"/>
            <w:hideMark/>
          </w:tcPr>
          <w:p w14:paraId="62CB2A7A" w14:textId="77777777" w:rsidR="005E72EC" w:rsidRPr="006C303A" w:rsidRDefault="005E72EC" w:rsidP="004F0D35">
            <w:pPr>
              <w:spacing w:after="0" w:line="240" w:lineRule="auto"/>
              <w:jc w:val="center"/>
              <w:rPr>
                <w:rFonts w:ascii="Trebuchet MS" w:eastAsia="Times New Roman" w:hAnsi="Trebuchet MS" w:cs="Arial"/>
                <w:b/>
                <w:bCs/>
                <w:color w:val="0070C0"/>
                <w:sz w:val="16"/>
                <w:szCs w:val="16"/>
                <w:lang w:eastAsia="en-GB"/>
              </w:rPr>
            </w:pPr>
            <w:r w:rsidRPr="006C303A">
              <w:rPr>
                <w:rFonts w:ascii="Trebuchet MS" w:eastAsia="Times New Roman" w:hAnsi="Trebuchet MS" w:cs="Arial"/>
                <w:b/>
                <w:bCs/>
                <w:color w:val="0070C0"/>
                <w:sz w:val="16"/>
                <w:szCs w:val="16"/>
                <w:lang w:eastAsia="en-GB"/>
              </w:rPr>
              <w:t>Before Scheme</w:t>
            </w:r>
          </w:p>
        </w:tc>
        <w:tc>
          <w:tcPr>
            <w:tcW w:w="728" w:type="dxa"/>
            <w:tcBorders>
              <w:top w:val="single" w:sz="8" w:space="0" w:color="0070C0"/>
              <w:left w:val="nil"/>
              <w:bottom w:val="single" w:sz="8" w:space="0" w:color="0070C0"/>
              <w:right w:val="single" w:sz="8" w:space="0" w:color="0070C0"/>
            </w:tcBorders>
            <w:shd w:val="clear" w:color="auto" w:fill="auto"/>
            <w:noWrap/>
            <w:vAlign w:val="center"/>
            <w:hideMark/>
          </w:tcPr>
          <w:p w14:paraId="27297F6F" w14:textId="77777777" w:rsidR="005E72EC" w:rsidRPr="006C303A" w:rsidRDefault="005E72EC" w:rsidP="004F0D35">
            <w:pPr>
              <w:spacing w:after="0" w:line="240" w:lineRule="auto"/>
              <w:jc w:val="center"/>
              <w:rPr>
                <w:rFonts w:ascii="Trebuchet MS" w:eastAsia="Times New Roman" w:hAnsi="Trebuchet MS" w:cs="Arial"/>
                <w:b/>
                <w:bCs/>
                <w:color w:val="0070C0"/>
                <w:sz w:val="16"/>
                <w:szCs w:val="16"/>
                <w:lang w:eastAsia="en-GB"/>
              </w:rPr>
            </w:pPr>
            <w:r w:rsidRPr="006C303A">
              <w:rPr>
                <w:rFonts w:ascii="Trebuchet MS" w:eastAsia="Times New Roman" w:hAnsi="Trebuchet MS" w:cs="Arial"/>
                <w:b/>
                <w:bCs/>
                <w:color w:val="0070C0"/>
                <w:sz w:val="16"/>
                <w:szCs w:val="16"/>
                <w:lang w:eastAsia="en-GB"/>
              </w:rPr>
              <w:t> </w:t>
            </w:r>
          </w:p>
        </w:tc>
        <w:tc>
          <w:tcPr>
            <w:tcW w:w="3587" w:type="dxa"/>
            <w:gridSpan w:val="4"/>
            <w:tcBorders>
              <w:top w:val="single" w:sz="8" w:space="0" w:color="0070C0"/>
              <w:left w:val="nil"/>
              <w:bottom w:val="single" w:sz="8" w:space="0" w:color="0070C0"/>
              <w:right w:val="single" w:sz="8" w:space="0" w:color="0070C0"/>
            </w:tcBorders>
            <w:shd w:val="clear" w:color="auto" w:fill="auto"/>
            <w:noWrap/>
            <w:vAlign w:val="center"/>
            <w:hideMark/>
          </w:tcPr>
          <w:p w14:paraId="7E0A9B7D" w14:textId="77777777" w:rsidR="005E72EC" w:rsidRPr="006C303A" w:rsidRDefault="005E72EC" w:rsidP="004F0D35">
            <w:pPr>
              <w:spacing w:after="0" w:line="240" w:lineRule="auto"/>
              <w:jc w:val="center"/>
              <w:rPr>
                <w:rFonts w:ascii="Trebuchet MS" w:eastAsia="Times New Roman" w:hAnsi="Trebuchet MS" w:cs="Arial"/>
                <w:b/>
                <w:bCs/>
                <w:color w:val="0070C0"/>
                <w:sz w:val="16"/>
                <w:szCs w:val="16"/>
                <w:lang w:eastAsia="en-GB"/>
              </w:rPr>
            </w:pPr>
            <w:r w:rsidRPr="006C303A">
              <w:rPr>
                <w:rFonts w:ascii="Trebuchet MS" w:eastAsia="Times New Roman" w:hAnsi="Trebuchet MS" w:cs="Arial"/>
                <w:b/>
                <w:bCs/>
                <w:color w:val="0070C0"/>
                <w:sz w:val="16"/>
                <w:szCs w:val="16"/>
                <w:lang w:eastAsia="en-GB"/>
              </w:rPr>
              <w:t>After Scheme</w:t>
            </w:r>
          </w:p>
        </w:tc>
        <w:tc>
          <w:tcPr>
            <w:tcW w:w="696" w:type="dxa"/>
            <w:tcBorders>
              <w:top w:val="nil"/>
              <w:left w:val="nil"/>
              <w:bottom w:val="nil"/>
              <w:right w:val="nil"/>
            </w:tcBorders>
            <w:shd w:val="clear" w:color="auto" w:fill="auto"/>
            <w:noWrap/>
            <w:vAlign w:val="bottom"/>
            <w:hideMark/>
          </w:tcPr>
          <w:p w14:paraId="77FC0643" w14:textId="77777777" w:rsidR="005E72EC" w:rsidRPr="002C2316" w:rsidRDefault="005E72EC" w:rsidP="004F0D35">
            <w:pPr>
              <w:spacing w:after="0" w:line="240" w:lineRule="auto"/>
              <w:jc w:val="center"/>
              <w:rPr>
                <w:rFonts w:ascii="Trebuchet MS" w:eastAsia="Times New Roman" w:hAnsi="Trebuchet MS" w:cs="Arial"/>
                <w:color w:val="0070C0"/>
                <w:sz w:val="16"/>
                <w:szCs w:val="16"/>
                <w:lang w:eastAsia="en-GB"/>
              </w:rPr>
            </w:pPr>
          </w:p>
        </w:tc>
        <w:tc>
          <w:tcPr>
            <w:tcW w:w="1348" w:type="dxa"/>
            <w:tcBorders>
              <w:top w:val="nil"/>
              <w:left w:val="nil"/>
              <w:bottom w:val="nil"/>
              <w:right w:val="nil"/>
            </w:tcBorders>
            <w:shd w:val="clear" w:color="auto" w:fill="auto"/>
            <w:noWrap/>
            <w:vAlign w:val="bottom"/>
            <w:hideMark/>
          </w:tcPr>
          <w:p w14:paraId="1A894249"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r>
      <w:tr w:rsidR="005E72EC" w:rsidRPr="002C2316" w14:paraId="64F0FF4C" w14:textId="77777777" w:rsidTr="00485908">
        <w:trPr>
          <w:trHeight w:val="261"/>
        </w:trPr>
        <w:tc>
          <w:tcPr>
            <w:tcW w:w="1485" w:type="dxa"/>
            <w:tcBorders>
              <w:top w:val="nil"/>
              <w:left w:val="nil"/>
              <w:bottom w:val="nil"/>
              <w:right w:val="nil"/>
            </w:tcBorders>
            <w:shd w:val="clear" w:color="auto" w:fill="auto"/>
            <w:noWrap/>
            <w:vAlign w:val="center"/>
            <w:hideMark/>
          </w:tcPr>
          <w:p w14:paraId="60CA36AA" w14:textId="77777777" w:rsidR="005E72EC" w:rsidRPr="002C2316" w:rsidRDefault="005E72EC" w:rsidP="004F0D35">
            <w:pPr>
              <w:spacing w:after="0" w:line="240" w:lineRule="auto"/>
              <w:jc w:val="center"/>
              <w:rPr>
                <w:rFonts w:ascii="Trebuchet MS" w:eastAsia="Times New Roman" w:hAnsi="Trebuchet MS" w:cs="Times New Roman"/>
                <w:b/>
                <w:bCs/>
                <w:color w:val="000000"/>
                <w:sz w:val="16"/>
                <w:szCs w:val="16"/>
                <w:lang w:eastAsia="en-GB"/>
              </w:rPr>
            </w:pPr>
            <w:r w:rsidRPr="002C2316">
              <w:rPr>
                <w:rFonts w:ascii="Trebuchet MS" w:eastAsia="Times New Roman" w:hAnsi="Trebuchet MS" w:cs="Times New Roman"/>
                <w:b/>
                <w:bCs/>
                <w:color w:val="000000"/>
                <w:sz w:val="16"/>
                <w:szCs w:val="16"/>
                <w:lang w:eastAsia="en-GB"/>
              </w:rPr>
              <w:t>AEI</w:t>
            </w:r>
          </w:p>
        </w:tc>
        <w:tc>
          <w:tcPr>
            <w:tcW w:w="728" w:type="dxa"/>
            <w:tcBorders>
              <w:top w:val="nil"/>
              <w:left w:val="single" w:sz="8" w:space="0" w:color="0070C0"/>
              <w:bottom w:val="single" w:sz="8" w:space="0" w:color="0070C0"/>
              <w:right w:val="nil"/>
            </w:tcBorders>
            <w:shd w:val="clear" w:color="auto" w:fill="auto"/>
            <w:noWrap/>
            <w:vAlign w:val="center"/>
            <w:hideMark/>
          </w:tcPr>
          <w:p w14:paraId="48A01291" w14:textId="77777777" w:rsidR="005E72EC" w:rsidRPr="002C2316" w:rsidRDefault="005E72EC" w:rsidP="004F0D35">
            <w:pPr>
              <w:spacing w:after="0" w:line="240" w:lineRule="auto"/>
              <w:jc w:val="right"/>
              <w:rPr>
                <w:rFonts w:ascii="Trebuchet MS" w:eastAsia="Times New Roman" w:hAnsi="Trebuchet MS" w:cs="Arial"/>
                <w:color w:val="0070C0"/>
                <w:sz w:val="16"/>
                <w:szCs w:val="16"/>
                <w:lang w:eastAsia="en-GB"/>
              </w:rPr>
            </w:pPr>
            <w:r w:rsidRPr="002C2316">
              <w:rPr>
                <w:rFonts w:ascii="Trebuchet MS" w:eastAsia="Times New Roman" w:hAnsi="Trebuchet MS" w:cs="Arial"/>
                <w:color w:val="0070C0"/>
                <w:sz w:val="16"/>
                <w:szCs w:val="16"/>
                <w:lang w:eastAsia="en-GB"/>
              </w:rPr>
              <w:t>UK</w:t>
            </w:r>
          </w:p>
        </w:tc>
        <w:tc>
          <w:tcPr>
            <w:tcW w:w="1055" w:type="dxa"/>
            <w:tcBorders>
              <w:top w:val="nil"/>
              <w:left w:val="nil"/>
              <w:bottom w:val="single" w:sz="8" w:space="0" w:color="0070C0"/>
              <w:right w:val="nil"/>
            </w:tcBorders>
            <w:shd w:val="clear" w:color="auto" w:fill="auto"/>
            <w:noWrap/>
            <w:vAlign w:val="center"/>
            <w:hideMark/>
          </w:tcPr>
          <w:p w14:paraId="3FF5135A" w14:textId="77777777" w:rsidR="005E72EC" w:rsidRPr="002C2316" w:rsidRDefault="005E72EC" w:rsidP="004F0D35">
            <w:pPr>
              <w:spacing w:after="0" w:line="240" w:lineRule="auto"/>
              <w:jc w:val="right"/>
              <w:rPr>
                <w:rFonts w:ascii="Trebuchet MS" w:eastAsia="Times New Roman" w:hAnsi="Trebuchet MS" w:cs="Arial"/>
                <w:color w:val="0070C0"/>
                <w:sz w:val="16"/>
                <w:szCs w:val="16"/>
                <w:lang w:eastAsia="en-GB"/>
              </w:rPr>
            </w:pPr>
            <w:r w:rsidRPr="002C2316">
              <w:rPr>
                <w:rFonts w:ascii="Trebuchet MS" w:eastAsia="Times New Roman" w:hAnsi="Trebuchet MS" w:cs="Arial"/>
                <w:color w:val="0070C0"/>
                <w:sz w:val="16"/>
                <w:szCs w:val="16"/>
                <w:lang w:eastAsia="en-GB"/>
              </w:rPr>
              <w:t>Switzerland</w:t>
            </w:r>
          </w:p>
        </w:tc>
        <w:tc>
          <w:tcPr>
            <w:tcW w:w="751" w:type="dxa"/>
            <w:tcBorders>
              <w:top w:val="nil"/>
              <w:left w:val="nil"/>
              <w:bottom w:val="single" w:sz="8" w:space="0" w:color="0070C0"/>
              <w:right w:val="nil"/>
            </w:tcBorders>
            <w:shd w:val="clear" w:color="auto" w:fill="auto"/>
            <w:noWrap/>
            <w:vAlign w:val="center"/>
            <w:hideMark/>
          </w:tcPr>
          <w:p w14:paraId="37F432E5" w14:textId="77777777" w:rsidR="005E72EC" w:rsidRPr="002C2316" w:rsidRDefault="005E72EC" w:rsidP="004F0D35">
            <w:pPr>
              <w:spacing w:after="0" w:line="240" w:lineRule="auto"/>
              <w:jc w:val="right"/>
              <w:rPr>
                <w:rFonts w:ascii="Trebuchet MS" w:eastAsia="Times New Roman" w:hAnsi="Trebuchet MS" w:cs="Arial"/>
                <w:color w:val="0070C0"/>
                <w:sz w:val="16"/>
                <w:szCs w:val="16"/>
                <w:lang w:eastAsia="en-GB"/>
              </w:rPr>
            </w:pPr>
            <w:r w:rsidRPr="002C2316">
              <w:rPr>
                <w:rFonts w:ascii="Trebuchet MS" w:eastAsia="Times New Roman" w:hAnsi="Trebuchet MS" w:cs="Arial"/>
                <w:color w:val="0070C0"/>
                <w:sz w:val="16"/>
                <w:szCs w:val="16"/>
                <w:lang w:eastAsia="en-GB"/>
              </w:rPr>
              <w:t>EU</w:t>
            </w:r>
          </w:p>
        </w:tc>
        <w:tc>
          <w:tcPr>
            <w:tcW w:w="728" w:type="dxa"/>
            <w:tcBorders>
              <w:top w:val="nil"/>
              <w:left w:val="single" w:sz="8" w:space="0" w:color="0070C0"/>
              <w:bottom w:val="single" w:sz="8" w:space="0" w:color="0070C0"/>
              <w:right w:val="single" w:sz="8" w:space="0" w:color="0070C0"/>
            </w:tcBorders>
            <w:shd w:val="clear" w:color="auto" w:fill="auto"/>
            <w:noWrap/>
            <w:vAlign w:val="center"/>
            <w:hideMark/>
          </w:tcPr>
          <w:p w14:paraId="2E5154CF" w14:textId="77777777" w:rsidR="005E72EC" w:rsidRPr="002C2316" w:rsidRDefault="005E72EC" w:rsidP="004F0D35">
            <w:pPr>
              <w:spacing w:after="0" w:line="240" w:lineRule="auto"/>
              <w:jc w:val="right"/>
              <w:rPr>
                <w:rFonts w:ascii="Trebuchet MS" w:eastAsia="Times New Roman" w:hAnsi="Trebuchet MS" w:cs="Arial"/>
                <w:color w:val="0070C0"/>
                <w:sz w:val="16"/>
                <w:szCs w:val="16"/>
                <w:lang w:eastAsia="en-GB"/>
              </w:rPr>
            </w:pPr>
            <w:r w:rsidRPr="002C2316">
              <w:rPr>
                <w:rFonts w:ascii="Trebuchet MS" w:eastAsia="Times New Roman" w:hAnsi="Trebuchet MS" w:cs="Arial"/>
                <w:color w:val="0070C0"/>
                <w:sz w:val="16"/>
                <w:szCs w:val="16"/>
                <w:lang w:eastAsia="en-GB"/>
              </w:rPr>
              <w:t>Total</w:t>
            </w:r>
          </w:p>
        </w:tc>
        <w:tc>
          <w:tcPr>
            <w:tcW w:w="726" w:type="dxa"/>
            <w:tcBorders>
              <w:top w:val="nil"/>
              <w:left w:val="nil"/>
              <w:bottom w:val="single" w:sz="8" w:space="0" w:color="0070C0"/>
              <w:right w:val="nil"/>
            </w:tcBorders>
            <w:shd w:val="clear" w:color="auto" w:fill="auto"/>
            <w:noWrap/>
            <w:vAlign w:val="center"/>
            <w:hideMark/>
          </w:tcPr>
          <w:p w14:paraId="012F45F8" w14:textId="77777777" w:rsidR="005E72EC" w:rsidRPr="002C2316" w:rsidRDefault="005E72EC" w:rsidP="004F0D35">
            <w:pPr>
              <w:spacing w:after="0" w:line="240" w:lineRule="auto"/>
              <w:jc w:val="right"/>
              <w:rPr>
                <w:rFonts w:ascii="Trebuchet MS" w:eastAsia="Times New Roman" w:hAnsi="Trebuchet MS" w:cs="Arial"/>
                <w:color w:val="0070C0"/>
                <w:sz w:val="16"/>
                <w:szCs w:val="16"/>
                <w:lang w:eastAsia="en-GB"/>
              </w:rPr>
            </w:pPr>
            <w:r w:rsidRPr="002C2316">
              <w:rPr>
                <w:rFonts w:ascii="Trebuchet MS" w:eastAsia="Times New Roman" w:hAnsi="Trebuchet MS" w:cs="Arial"/>
                <w:color w:val="0070C0"/>
                <w:sz w:val="16"/>
                <w:szCs w:val="16"/>
                <w:lang w:eastAsia="en-GB"/>
              </w:rPr>
              <w:t>UK</w:t>
            </w:r>
          </w:p>
        </w:tc>
        <w:tc>
          <w:tcPr>
            <w:tcW w:w="1055" w:type="dxa"/>
            <w:tcBorders>
              <w:top w:val="nil"/>
              <w:left w:val="nil"/>
              <w:bottom w:val="single" w:sz="8" w:space="0" w:color="0070C0"/>
              <w:right w:val="nil"/>
            </w:tcBorders>
            <w:shd w:val="clear" w:color="auto" w:fill="auto"/>
            <w:noWrap/>
            <w:vAlign w:val="center"/>
            <w:hideMark/>
          </w:tcPr>
          <w:p w14:paraId="0D9BFA7D" w14:textId="77777777" w:rsidR="005E72EC" w:rsidRPr="002C2316" w:rsidRDefault="005E72EC" w:rsidP="004F0D35">
            <w:pPr>
              <w:spacing w:after="0" w:line="240" w:lineRule="auto"/>
              <w:jc w:val="right"/>
              <w:rPr>
                <w:rFonts w:ascii="Trebuchet MS" w:eastAsia="Times New Roman" w:hAnsi="Trebuchet MS" w:cs="Arial"/>
                <w:color w:val="0070C0"/>
                <w:sz w:val="16"/>
                <w:szCs w:val="16"/>
                <w:lang w:eastAsia="en-GB"/>
              </w:rPr>
            </w:pPr>
            <w:r w:rsidRPr="002C2316">
              <w:rPr>
                <w:rFonts w:ascii="Trebuchet MS" w:eastAsia="Times New Roman" w:hAnsi="Trebuchet MS" w:cs="Arial"/>
                <w:color w:val="0070C0"/>
                <w:sz w:val="16"/>
                <w:szCs w:val="16"/>
                <w:lang w:eastAsia="en-GB"/>
              </w:rPr>
              <w:t>Switzerland</w:t>
            </w:r>
          </w:p>
        </w:tc>
        <w:tc>
          <w:tcPr>
            <w:tcW w:w="1055" w:type="dxa"/>
            <w:tcBorders>
              <w:top w:val="nil"/>
              <w:left w:val="nil"/>
              <w:bottom w:val="single" w:sz="8" w:space="0" w:color="0070C0"/>
              <w:right w:val="nil"/>
            </w:tcBorders>
            <w:shd w:val="clear" w:color="auto" w:fill="auto"/>
            <w:noWrap/>
            <w:vAlign w:val="center"/>
            <w:hideMark/>
          </w:tcPr>
          <w:p w14:paraId="33E53426" w14:textId="77777777" w:rsidR="005E72EC" w:rsidRPr="002C2316" w:rsidRDefault="005E72EC" w:rsidP="004F0D35">
            <w:pPr>
              <w:spacing w:after="0" w:line="240" w:lineRule="auto"/>
              <w:jc w:val="right"/>
              <w:rPr>
                <w:rFonts w:ascii="Trebuchet MS" w:eastAsia="Times New Roman" w:hAnsi="Trebuchet MS" w:cs="Arial"/>
                <w:color w:val="0070C0"/>
                <w:sz w:val="16"/>
                <w:szCs w:val="16"/>
                <w:lang w:eastAsia="en-GB"/>
              </w:rPr>
            </w:pPr>
            <w:r w:rsidRPr="002C2316">
              <w:rPr>
                <w:rFonts w:ascii="Trebuchet MS" w:eastAsia="Times New Roman" w:hAnsi="Trebuchet MS" w:cs="Arial"/>
                <w:color w:val="0070C0"/>
                <w:sz w:val="16"/>
                <w:szCs w:val="16"/>
                <w:lang w:eastAsia="en-GB"/>
              </w:rPr>
              <w:t>EU</w:t>
            </w:r>
          </w:p>
        </w:tc>
        <w:tc>
          <w:tcPr>
            <w:tcW w:w="751" w:type="dxa"/>
            <w:tcBorders>
              <w:top w:val="nil"/>
              <w:left w:val="single" w:sz="8" w:space="0" w:color="0070C0"/>
              <w:bottom w:val="single" w:sz="8" w:space="0" w:color="0070C0"/>
              <w:right w:val="single" w:sz="8" w:space="0" w:color="0070C0"/>
            </w:tcBorders>
            <w:shd w:val="clear" w:color="auto" w:fill="auto"/>
            <w:noWrap/>
            <w:vAlign w:val="center"/>
            <w:hideMark/>
          </w:tcPr>
          <w:p w14:paraId="7B0E779F" w14:textId="77777777" w:rsidR="005E72EC" w:rsidRPr="002C2316" w:rsidRDefault="005E72EC" w:rsidP="004F0D35">
            <w:pPr>
              <w:spacing w:after="0" w:line="240" w:lineRule="auto"/>
              <w:jc w:val="right"/>
              <w:rPr>
                <w:rFonts w:ascii="Trebuchet MS" w:eastAsia="Times New Roman" w:hAnsi="Trebuchet MS" w:cs="Arial"/>
                <w:color w:val="0070C0"/>
                <w:sz w:val="16"/>
                <w:szCs w:val="16"/>
                <w:lang w:eastAsia="en-GB"/>
              </w:rPr>
            </w:pPr>
            <w:r w:rsidRPr="002C2316">
              <w:rPr>
                <w:rFonts w:ascii="Trebuchet MS" w:eastAsia="Times New Roman" w:hAnsi="Trebuchet MS" w:cs="Arial"/>
                <w:color w:val="0070C0"/>
                <w:sz w:val="16"/>
                <w:szCs w:val="16"/>
                <w:lang w:eastAsia="en-GB"/>
              </w:rPr>
              <w:t>Total</w:t>
            </w:r>
          </w:p>
        </w:tc>
        <w:tc>
          <w:tcPr>
            <w:tcW w:w="696" w:type="dxa"/>
            <w:tcBorders>
              <w:top w:val="nil"/>
              <w:left w:val="nil"/>
              <w:bottom w:val="nil"/>
              <w:right w:val="nil"/>
            </w:tcBorders>
            <w:shd w:val="clear" w:color="auto" w:fill="auto"/>
            <w:noWrap/>
            <w:vAlign w:val="bottom"/>
            <w:hideMark/>
          </w:tcPr>
          <w:p w14:paraId="751000D6" w14:textId="77777777" w:rsidR="005E72EC" w:rsidRPr="002C2316" w:rsidRDefault="005E72EC" w:rsidP="004F0D35">
            <w:pPr>
              <w:spacing w:after="0" w:line="240" w:lineRule="auto"/>
              <w:rPr>
                <w:rFonts w:ascii="Trebuchet MS" w:eastAsia="Times New Roman" w:hAnsi="Trebuchet MS" w:cs="Arial"/>
                <w:color w:val="0070C0"/>
                <w:sz w:val="16"/>
                <w:szCs w:val="16"/>
                <w:lang w:eastAsia="en-GB"/>
              </w:rPr>
            </w:pPr>
          </w:p>
        </w:tc>
        <w:tc>
          <w:tcPr>
            <w:tcW w:w="1348" w:type="dxa"/>
            <w:tcBorders>
              <w:top w:val="nil"/>
              <w:left w:val="nil"/>
              <w:bottom w:val="nil"/>
              <w:right w:val="nil"/>
            </w:tcBorders>
            <w:shd w:val="clear" w:color="auto" w:fill="auto"/>
            <w:noWrap/>
            <w:vAlign w:val="bottom"/>
            <w:hideMark/>
          </w:tcPr>
          <w:p w14:paraId="01FD13E6"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r>
      <w:tr w:rsidR="005E72EC" w:rsidRPr="002C2316" w14:paraId="4A66ADD5" w14:textId="77777777" w:rsidTr="00485908">
        <w:trPr>
          <w:trHeight w:val="222"/>
        </w:trPr>
        <w:tc>
          <w:tcPr>
            <w:tcW w:w="1485" w:type="dxa"/>
            <w:tcBorders>
              <w:top w:val="single" w:sz="8" w:space="0" w:color="0070C0"/>
              <w:left w:val="single" w:sz="8" w:space="0" w:color="0070C0"/>
              <w:bottom w:val="single" w:sz="8" w:space="0" w:color="0070C0"/>
              <w:right w:val="single" w:sz="8" w:space="0" w:color="0070C0"/>
            </w:tcBorders>
            <w:shd w:val="clear" w:color="auto" w:fill="auto"/>
            <w:noWrap/>
            <w:vAlign w:val="center"/>
            <w:hideMark/>
          </w:tcPr>
          <w:p w14:paraId="0C7EEEEA" w14:textId="77777777" w:rsidR="005E72EC" w:rsidRPr="002C2316" w:rsidRDefault="005E72EC" w:rsidP="004F0D35">
            <w:pPr>
              <w:spacing w:after="0" w:line="240" w:lineRule="auto"/>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Claims Provision</w:t>
            </w:r>
          </w:p>
        </w:tc>
        <w:tc>
          <w:tcPr>
            <w:tcW w:w="728" w:type="dxa"/>
            <w:tcBorders>
              <w:top w:val="nil"/>
              <w:left w:val="nil"/>
              <w:bottom w:val="single" w:sz="8" w:space="0" w:color="0070C0"/>
              <w:right w:val="nil"/>
            </w:tcBorders>
            <w:shd w:val="clear" w:color="auto" w:fill="auto"/>
            <w:noWrap/>
            <w:vAlign w:val="center"/>
            <w:hideMark/>
          </w:tcPr>
          <w:p w14:paraId="7CA04B7D"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0</w:t>
            </w:r>
          </w:p>
        </w:tc>
        <w:tc>
          <w:tcPr>
            <w:tcW w:w="1055" w:type="dxa"/>
            <w:tcBorders>
              <w:top w:val="nil"/>
              <w:left w:val="nil"/>
              <w:bottom w:val="single" w:sz="8" w:space="0" w:color="0070C0"/>
              <w:right w:val="nil"/>
            </w:tcBorders>
            <w:shd w:val="clear" w:color="auto" w:fill="auto"/>
            <w:noWrap/>
            <w:vAlign w:val="center"/>
            <w:hideMark/>
          </w:tcPr>
          <w:p w14:paraId="2C7CFB5D"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0</w:t>
            </w:r>
          </w:p>
        </w:tc>
        <w:tc>
          <w:tcPr>
            <w:tcW w:w="751" w:type="dxa"/>
            <w:tcBorders>
              <w:top w:val="nil"/>
              <w:left w:val="nil"/>
              <w:bottom w:val="single" w:sz="8" w:space="0" w:color="0070C0"/>
              <w:right w:val="nil"/>
            </w:tcBorders>
            <w:shd w:val="clear" w:color="auto" w:fill="auto"/>
            <w:noWrap/>
            <w:vAlign w:val="center"/>
            <w:hideMark/>
          </w:tcPr>
          <w:p w14:paraId="51C3E97D"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0</w:t>
            </w:r>
          </w:p>
        </w:tc>
        <w:tc>
          <w:tcPr>
            <w:tcW w:w="728" w:type="dxa"/>
            <w:tcBorders>
              <w:top w:val="nil"/>
              <w:left w:val="single" w:sz="8" w:space="0" w:color="0070C0"/>
              <w:bottom w:val="single" w:sz="8" w:space="0" w:color="0070C0"/>
              <w:right w:val="single" w:sz="8" w:space="0" w:color="0070C0"/>
            </w:tcBorders>
            <w:shd w:val="clear" w:color="auto" w:fill="auto"/>
            <w:noWrap/>
            <w:vAlign w:val="center"/>
            <w:hideMark/>
          </w:tcPr>
          <w:p w14:paraId="63E13DEB"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0</w:t>
            </w:r>
          </w:p>
        </w:tc>
        <w:tc>
          <w:tcPr>
            <w:tcW w:w="726" w:type="dxa"/>
            <w:tcBorders>
              <w:top w:val="nil"/>
              <w:left w:val="nil"/>
              <w:bottom w:val="single" w:sz="8" w:space="0" w:color="0070C0"/>
              <w:right w:val="nil"/>
            </w:tcBorders>
            <w:shd w:val="clear" w:color="auto" w:fill="auto"/>
            <w:noWrap/>
            <w:vAlign w:val="center"/>
            <w:hideMark/>
          </w:tcPr>
          <w:p w14:paraId="53115496"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0</w:t>
            </w:r>
          </w:p>
        </w:tc>
        <w:tc>
          <w:tcPr>
            <w:tcW w:w="1055" w:type="dxa"/>
            <w:tcBorders>
              <w:top w:val="nil"/>
              <w:left w:val="nil"/>
              <w:bottom w:val="single" w:sz="8" w:space="0" w:color="0070C0"/>
              <w:right w:val="nil"/>
            </w:tcBorders>
            <w:shd w:val="clear" w:color="auto" w:fill="auto"/>
            <w:noWrap/>
            <w:vAlign w:val="center"/>
            <w:hideMark/>
          </w:tcPr>
          <w:p w14:paraId="5AE6CDC4"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0</w:t>
            </w:r>
          </w:p>
        </w:tc>
        <w:tc>
          <w:tcPr>
            <w:tcW w:w="1055" w:type="dxa"/>
            <w:tcBorders>
              <w:top w:val="nil"/>
              <w:left w:val="nil"/>
              <w:bottom w:val="single" w:sz="8" w:space="0" w:color="0070C0"/>
              <w:right w:val="nil"/>
            </w:tcBorders>
            <w:shd w:val="clear" w:color="auto" w:fill="auto"/>
            <w:noWrap/>
            <w:vAlign w:val="center"/>
            <w:hideMark/>
          </w:tcPr>
          <w:p w14:paraId="6370B8C9"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2,741</w:t>
            </w:r>
          </w:p>
        </w:tc>
        <w:tc>
          <w:tcPr>
            <w:tcW w:w="751" w:type="dxa"/>
            <w:tcBorders>
              <w:top w:val="nil"/>
              <w:left w:val="single" w:sz="8" w:space="0" w:color="0070C0"/>
              <w:bottom w:val="single" w:sz="8" w:space="0" w:color="0070C0"/>
              <w:right w:val="single" w:sz="8" w:space="0" w:color="0070C0"/>
            </w:tcBorders>
            <w:shd w:val="clear" w:color="auto" w:fill="auto"/>
            <w:noWrap/>
            <w:vAlign w:val="center"/>
            <w:hideMark/>
          </w:tcPr>
          <w:p w14:paraId="766DD607"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2,741</w:t>
            </w:r>
          </w:p>
        </w:tc>
        <w:tc>
          <w:tcPr>
            <w:tcW w:w="696" w:type="dxa"/>
            <w:tcBorders>
              <w:top w:val="nil"/>
              <w:left w:val="nil"/>
              <w:bottom w:val="nil"/>
              <w:right w:val="nil"/>
            </w:tcBorders>
            <w:shd w:val="clear" w:color="auto" w:fill="auto"/>
            <w:noWrap/>
            <w:vAlign w:val="bottom"/>
            <w:hideMark/>
          </w:tcPr>
          <w:p w14:paraId="6EB8B0AB"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p>
        </w:tc>
        <w:tc>
          <w:tcPr>
            <w:tcW w:w="1348" w:type="dxa"/>
            <w:tcBorders>
              <w:top w:val="nil"/>
              <w:left w:val="nil"/>
              <w:bottom w:val="nil"/>
              <w:right w:val="nil"/>
            </w:tcBorders>
            <w:shd w:val="clear" w:color="auto" w:fill="auto"/>
            <w:noWrap/>
            <w:vAlign w:val="bottom"/>
            <w:hideMark/>
          </w:tcPr>
          <w:p w14:paraId="3E5E8024"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r>
      <w:tr w:rsidR="005E72EC" w:rsidRPr="002C2316" w14:paraId="435E71F7" w14:textId="77777777" w:rsidTr="00485908">
        <w:trPr>
          <w:trHeight w:val="222"/>
        </w:trPr>
        <w:tc>
          <w:tcPr>
            <w:tcW w:w="1485" w:type="dxa"/>
            <w:tcBorders>
              <w:top w:val="nil"/>
              <w:left w:val="single" w:sz="8" w:space="0" w:color="0070C0"/>
              <w:bottom w:val="single" w:sz="8" w:space="0" w:color="0070C0"/>
              <w:right w:val="single" w:sz="8" w:space="0" w:color="0070C0"/>
            </w:tcBorders>
            <w:shd w:val="clear" w:color="auto" w:fill="auto"/>
            <w:noWrap/>
            <w:vAlign w:val="center"/>
            <w:hideMark/>
          </w:tcPr>
          <w:p w14:paraId="6027AC87" w14:textId="77777777" w:rsidR="005E72EC" w:rsidRPr="002C2316" w:rsidRDefault="005E72EC" w:rsidP="004F0D35">
            <w:pPr>
              <w:spacing w:after="0" w:line="240" w:lineRule="auto"/>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Premium Provision</w:t>
            </w:r>
          </w:p>
        </w:tc>
        <w:tc>
          <w:tcPr>
            <w:tcW w:w="728" w:type="dxa"/>
            <w:tcBorders>
              <w:top w:val="nil"/>
              <w:left w:val="nil"/>
              <w:bottom w:val="single" w:sz="8" w:space="0" w:color="0070C0"/>
              <w:right w:val="nil"/>
            </w:tcBorders>
            <w:shd w:val="clear" w:color="auto" w:fill="auto"/>
            <w:noWrap/>
            <w:vAlign w:val="center"/>
            <w:hideMark/>
          </w:tcPr>
          <w:p w14:paraId="6D12A350"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0</w:t>
            </w:r>
          </w:p>
        </w:tc>
        <w:tc>
          <w:tcPr>
            <w:tcW w:w="1055" w:type="dxa"/>
            <w:tcBorders>
              <w:top w:val="nil"/>
              <w:left w:val="nil"/>
              <w:bottom w:val="single" w:sz="8" w:space="0" w:color="0070C0"/>
              <w:right w:val="nil"/>
            </w:tcBorders>
            <w:shd w:val="clear" w:color="auto" w:fill="auto"/>
            <w:noWrap/>
            <w:vAlign w:val="center"/>
            <w:hideMark/>
          </w:tcPr>
          <w:p w14:paraId="7F101FF5"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0</w:t>
            </w:r>
          </w:p>
        </w:tc>
        <w:tc>
          <w:tcPr>
            <w:tcW w:w="751" w:type="dxa"/>
            <w:tcBorders>
              <w:top w:val="nil"/>
              <w:left w:val="nil"/>
              <w:bottom w:val="single" w:sz="8" w:space="0" w:color="0070C0"/>
              <w:right w:val="nil"/>
            </w:tcBorders>
            <w:shd w:val="clear" w:color="auto" w:fill="auto"/>
            <w:noWrap/>
            <w:vAlign w:val="center"/>
            <w:hideMark/>
          </w:tcPr>
          <w:p w14:paraId="28A6E96D"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0</w:t>
            </w:r>
          </w:p>
        </w:tc>
        <w:tc>
          <w:tcPr>
            <w:tcW w:w="728" w:type="dxa"/>
            <w:tcBorders>
              <w:top w:val="nil"/>
              <w:left w:val="single" w:sz="8" w:space="0" w:color="0070C0"/>
              <w:bottom w:val="single" w:sz="8" w:space="0" w:color="0070C0"/>
              <w:right w:val="single" w:sz="8" w:space="0" w:color="0070C0"/>
            </w:tcBorders>
            <w:shd w:val="clear" w:color="auto" w:fill="auto"/>
            <w:noWrap/>
            <w:vAlign w:val="center"/>
            <w:hideMark/>
          </w:tcPr>
          <w:p w14:paraId="2655B1F9"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0</w:t>
            </w:r>
          </w:p>
        </w:tc>
        <w:tc>
          <w:tcPr>
            <w:tcW w:w="726" w:type="dxa"/>
            <w:tcBorders>
              <w:top w:val="nil"/>
              <w:left w:val="nil"/>
              <w:bottom w:val="single" w:sz="8" w:space="0" w:color="0070C0"/>
              <w:right w:val="nil"/>
            </w:tcBorders>
            <w:shd w:val="clear" w:color="auto" w:fill="auto"/>
            <w:noWrap/>
            <w:vAlign w:val="center"/>
            <w:hideMark/>
          </w:tcPr>
          <w:p w14:paraId="409959D9"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0</w:t>
            </w:r>
          </w:p>
        </w:tc>
        <w:tc>
          <w:tcPr>
            <w:tcW w:w="1055" w:type="dxa"/>
            <w:tcBorders>
              <w:top w:val="nil"/>
              <w:left w:val="nil"/>
              <w:bottom w:val="single" w:sz="8" w:space="0" w:color="0070C0"/>
              <w:right w:val="nil"/>
            </w:tcBorders>
            <w:shd w:val="clear" w:color="auto" w:fill="auto"/>
            <w:noWrap/>
            <w:vAlign w:val="center"/>
            <w:hideMark/>
          </w:tcPr>
          <w:p w14:paraId="5618C31B"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0</w:t>
            </w:r>
          </w:p>
        </w:tc>
        <w:tc>
          <w:tcPr>
            <w:tcW w:w="1055" w:type="dxa"/>
            <w:tcBorders>
              <w:top w:val="nil"/>
              <w:left w:val="nil"/>
              <w:bottom w:val="single" w:sz="8" w:space="0" w:color="0070C0"/>
              <w:right w:val="nil"/>
            </w:tcBorders>
            <w:shd w:val="clear" w:color="auto" w:fill="auto"/>
            <w:noWrap/>
            <w:vAlign w:val="center"/>
            <w:hideMark/>
          </w:tcPr>
          <w:p w14:paraId="0F01C485"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391</w:t>
            </w:r>
          </w:p>
        </w:tc>
        <w:tc>
          <w:tcPr>
            <w:tcW w:w="751" w:type="dxa"/>
            <w:tcBorders>
              <w:top w:val="nil"/>
              <w:left w:val="single" w:sz="8" w:space="0" w:color="0070C0"/>
              <w:bottom w:val="single" w:sz="8" w:space="0" w:color="0070C0"/>
              <w:right w:val="single" w:sz="8" w:space="0" w:color="0070C0"/>
            </w:tcBorders>
            <w:shd w:val="clear" w:color="auto" w:fill="auto"/>
            <w:noWrap/>
            <w:vAlign w:val="center"/>
            <w:hideMark/>
          </w:tcPr>
          <w:p w14:paraId="51DCD066"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391</w:t>
            </w:r>
          </w:p>
        </w:tc>
        <w:tc>
          <w:tcPr>
            <w:tcW w:w="696" w:type="dxa"/>
            <w:tcBorders>
              <w:top w:val="nil"/>
              <w:left w:val="nil"/>
              <w:bottom w:val="nil"/>
              <w:right w:val="nil"/>
            </w:tcBorders>
            <w:shd w:val="clear" w:color="auto" w:fill="auto"/>
            <w:noWrap/>
            <w:vAlign w:val="bottom"/>
            <w:hideMark/>
          </w:tcPr>
          <w:p w14:paraId="1F33A7BB"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p>
        </w:tc>
        <w:tc>
          <w:tcPr>
            <w:tcW w:w="1348" w:type="dxa"/>
            <w:tcBorders>
              <w:top w:val="nil"/>
              <w:left w:val="nil"/>
              <w:bottom w:val="nil"/>
              <w:right w:val="nil"/>
            </w:tcBorders>
            <w:shd w:val="clear" w:color="auto" w:fill="auto"/>
            <w:noWrap/>
            <w:vAlign w:val="bottom"/>
            <w:hideMark/>
          </w:tcPr>
          <w:p w14:paraId="1BB68023"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r>
      <w:tr w:rsidR="005E72EC" w:rsidRPr="002C2316" w14:paraId="0EF5F005" w14:textId="77777777" w:rsidTr="00485908">
        <w:trPr>
          <w:trHeight w:val="222"/>
        </w:trPr>
        <w:tc>
          <w:tcPr>
            <w:tcW w:w="1485" w:type="dxa"/>
            <w:tcBorders>
              <w:top w:val="nil"/>
              <w:left w:val="single" w:sz="8" w:space="0" w:color="0070C0"/>
              <w:bottom w:val="single" w:sz="8" w:space="0" w:color="0070C0"/>
              <w:right w:val="single" w:sz="8" w:space="0" w:color="0070C0"/>
            </w:tcBorders>
            <w:shd w:val="clear" w:color="auto" w:fill="auto"/>
            <w:noWrap/>
            <w:vAlign w:val="center"/>
            <w:hideMark/>
          </w:tcPr>
          <w:p w14:paraId="1946F3DD" w14:textId="77777777" w:rsidR="005E72EC" w:rsidRPr="002C2316" w:rsidRDefault="005E72EC" w:rsidP="004F0D35">
            <w:pPr>
              <w:spacing w:after="0" w:line="240" w:lineRule="auto"/>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Total</w:t>
            </w:r>
          </w:p>
        </w:tc>
        <w:tc>
          <w:tcPr>
            <w:tcW w:w="728" w:type="dxa"/>
            <w:tcBorders>
              <w:top w:val="nil"/>
              <w:left w:val="nil"/>
              <w:bottom w:val="single" w:sz="8" w:space="0" w:color="0070C0"/>
              <w:right w:val="nil"/>
            </w:tcBorders>
            <w:shd w:val="clear" w:color="auto" w:fill="auto"/>
            <w:noWrap/>
            <w:vAlign w:val="center"/>
            <w:hideMark/>
          </w:tcPr>
          <w:p w14:paraId="520624AC"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0</w:t>
            </w:r>
          </w:p>
        </w:tc>
        <w:tc>
          <w:tcPr>
            <w:tcW w:w="1055" w:type="dxa"/>
            <w:tcBorders>
              <w:top w:val="nil"/>
              <w:left w:val="nil"/>
              <w:bottom w:val="single" w:sz="8" w:space="0" w:color="0070C0"/>
              <w:right w:val="nil"/>
            </w:tcBorders>
            <w:shd w:val="clear" w:color="auto" w:fill="auto"/>
            <w:noWrap/>
            <w:vAlign w:val="center"/>
            <w:hideMark/>
          </w:tcPr>
          <w:p w14:paraId="50B9CDF3"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0</w:t>
            </w:r>
          </w:p>
        </w:tc>
        <w:tc>
          <w:tcPr>
            <w:tcW w:w="751" w:type="dxa"/>
            <w:tcBorders>
              <w:top w:val="nil"/>
              <w:left w:val="nil"/>
              <w:bottom w:val="single" w:sz="8" w:space="0" w:color="0070C0"/>
              <w:right w:val="nil"/>
            </w:tcBorders>
            <w:shd w:val="clear" w:color="auto" w:fill="auto"/>
            <w:noWrap/>
            <w:vAlign w:val="center"/>
            <w:hideMark/>
          </w:tcPr>
          <w:p w14:paraId="031EB999"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0</w:t>
            </w:r>
          </w:p>
        </w:tc>
        <w:tc>
          <w:tcPr>
            <w:tcW w:w="728" w:type="dxa"/>
            <w:tcBorders>
              <w:top w:val="nil"/>
              <w:left w:val="single" w:sz="8" w:space="0" w:color="0070C0"/>
              <w:bottom w:val="single" w:sz="8" w:space="0" w:color="0070C0"/>
              <w:right w:val="single" w:sz="8" w:space="0" w:color="0070C0"/>
            </w:tcBorders>
            <w:shd w:val="clear" w:color="auto" w:fill="auto"/>
            <w:noWrap/>
            <w:vAlign w:val="center"/>
            <w:hideMark/>
          </w:tcPr>
          <w:p w14:paraId="4CC2DFA6"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0</w:t>
            </w:r>
          </w:p>
        </w:tc>
        <w:tc>
          <w:tcPr>
            <w:tcW w:w="726" w:type="dxa"/>
            <w:tcBorders>
              <w:top w:val="nil"/>
              <w:left w:val="nil"/>
              <w:bottom w:val="single" w:sz="8" w:space="0" w:color="0070C0"/>
              <w:right w:val="nil"/>
            </w:tcBorders>
            <w:shd w:val="clear" w:color="auto" w:fill="auto"/>
            <w:noWrap/>
            <w:vAlign w:val="center"/>
            <w:hideMark/>
          </w:tcPr>
          <w:p w14:paraId="6B0ABE91"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0</w:t>
            </w:r>
          </w:p>
        </w:tc>
        <w:tc>
          <w:tcPr>
            <w:tcW w:w="1055" w:type="dxa"/>
            <w:tcBorders>
              <w:top w:val="nil"/>
              <w:left w:val="nil"/>
              <w:bottom w:val="single" w:sz="8" w:space="0" w:color="0070C0"/>
              <w:right w:val="nil"/>
            </w:tcBorders>
            <w:shd w:val="clear" w:color="auto" w:fill="auto"/>
            <w:noWrap/>
            <w:vAlign w:val="center"/>
            <w:hideMark/>
          </w:tcPr>
          <w:p w14:paraId="163DBAA9"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0</w:t>
            </w:r>
          </w:p>
        </w:tc>
        <w:tc>
          <w:tcPr>
            <w:tcW w:w="1055" w:type="dxa"/>
            <w:tcBorders>
              <w:top w:val="nil"/>
              <w:left w:val="nil"/>
              <w:bottom w:val="single" w:sz="8" w:space="0" w:color="0070C0"/>
              <w:right w:val="nil"/>
            </w:tcBorders>
            <w:shd w:val="clear" w:color="auto" w:fill="auto"/>
            <w:noWrap/>
            <w:vAlign w:val="center"/>
            <w:hideMark/>
          </w:tcPr>
          <w:p w14:paraId="592EB425"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3,132</w:t>
            </w:r>
          </w:p>
        </w:tc>
        <w:tc>
          <w:tcPr>
            <w:tcW w:w="751" w:type="dxa"/>
            <w:tcBorders>
              <w:top w:val="nil"/>
              <w:left w:val="single" w:sz="8" w:space="0" w:color="0070C0"/>
              <w:bottom w:val="single" w:sz="8" w:space="0" w:color="0070C0"/>
              <w:right w:val="single" w:sz="8" w:space="0" w:color="0070C0"/>
            </w:tcBorders>
            <w:shd w:val="clear" w:color="auto" w:fill="auto"/>
            <w:noWrap/>
            <w:vAlign w:val="center"/>
            <w:hideMark/>
          </w:tcPr>
          <w:p w14:paraId="6FC1C59B"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r w:rsidRPr="002C2316">
              <w:rPr>
                <w:rFonts w:ascii="Trebuchet MS" w:eastAsia="Times New Roman" w:hAnsi="Trebuchet MS" w:cs="Arial"/>
                <w:color w:val="000000"/>
                <w:sz w:val="16"/>
                <w:szCs w:val="16"/>
                <w:lang w:eastAsia="en-GB"/>
              </w:rPr>
              <w:t>3,132</w:t>
            </w:r>
          </w:p>
        </w:tc>
        <w:tc>
          <w:tcPr>
            <w:tcW w:w="696" w:type="dxa"/>
            <w:tcBorders>
              <w:top w:val="nil"/>
              <w:left w:val="nil"/>
              <w:bottom w:val="nil"/>
              <w:right w:val="nil"/>
            </w:tcBorders>
            <w:shd w:val="clear" w:color="auto" w:fill="auto"/>
            <w:noWrap/>
            <w:vAlign w:val="bottom"/>
            <w:hideMark/>
          </w:tcPr>
          <w:p w14:paraId="77C6C729" w14:textId="77777777" w:rsidR="005E72EC" w:rsidRPr="002C2316" w:rsidRDefault="005E72EC" w:rsidP="004F0D35">
            <w:pPr>
              <w:spacing w:after="0" w:line="240" w:lineRule="auto"/>
              <w:jc w:val="right"/>
              <w:rPr>
                <w:rFonts w:ascii="Trebuchet MS" w:eastAsia="Times New Roman" w:hAnsi="Trebuchet MS" w:cs="Arial"/>
                <w:color w:val="000000"/>
                <w:sz w:val="16"/>
                <w:szCs w:val="16"/>
                <w:lang w:eastAsia="en-GB"/>
              </w:rPr>
            </w:pPr>
          </w:p>
        </w:tc>
        <w:tc>
          <w:tcPr>
            <w:tcW w:w="1348" w:type="dxa"/>
            <w:tcBorders>
              <w:top w:val="nil"/>
              <w:left w:val="nil"/>
              <w:bottom w:val="nil"/>
              <w:right w:val="nil"/>
            </w:tcBorders>
            <w:shd w:val="clear" w:color="auto" w:fill="auto"/>
            <w:noWrap/>
            <w:vAlign w:val="bottom"/>
            <w:hideMark/>
          </w:tcPr>
          <w:p w14:paraId="1FD379D7" w14:textId="77777777" w:rsidR="005E72EC" w:rsidRPr="002C2316" w:rsidRDefault="005E72EC" w:rsidP="004F0D35">
            <w:pPr>
              <w:spacing w:after="0" w:line="240" w:lineRule="auto"/>
              <w:rPr>
                <w:rFonts w:ascii="Trebuchet MS" w:eastAsia="Times New Roman" w:hAnsi="Trebuchet MS" w:cs="Times New Roman"/>
                <w:sz w:val="16"/>
                <w:szCs w:val="16"/>
                <w:lang w:eastAsia="en-GB"/>
              </w:rPr>
            </w:pPr>
          </w:p>
        </w:tc>
      </w:tr>
    </w:tbl>
    <w:p w14:paraId="0C05AB2A" w14:textId="7461BBDB" w:rsidR="005E72EC" w:rsidRDefault="005E72EC" w:rsidP="005E72EC">
      <w:pPr>
        <w:rPr>
          <w:rFonts w:ascii="Trebuchet MS" w:hAnsi="Trebuchet MS"/>
          <w:sz w:val="20"/>
          <w:szCs w:val="20"/>
          <w:lang w:val="en-US"/>
        </w:rPr>
      </w:pPr>
    </w:p>
    <w:p w14:paraId="72A882BD" w14:textId="45DE740A" w:rsidR="005E72EC" w:rsidRPr="006C51A9" w:rsidRDefault="006C51A9" w:rsidP="005E72EC">
      <w:pPr>
        <w:rPr>
          <w:rFonts w:ascii="Trebuchet MS" w:hAnsi="Trebuchet MS"/>
          <w:sz w:val="20"/>
          <w:szCs w:val="20"/>
        </w:rPr>
      </w:pPr>
      <w:r>
        <w:rPr>
          <w:rFonts w:ascii="Trebuchet MS" w:hAnsi="Trebuchet MS"/>
          <w:sz w:val="20"/>
          <w:szCs w:val="20"/>
        </w:rPr>
        <w:t xml:space="preserve">LGI recaptured the quota share in July 2020 for non-UK business. This is reflected in the ceded </w:t>
      </w:r>
      <w:proofErr w:type="spellStart"/>
      <w:r>
        <w:rPr>
          <w:rFonts w:ascii="Trebuchet MS" w:hAnsi="Trebuchet MS"/>
          <w:sz w:val="20"/>
          <w:szCs w:val="20"/>
        </w:rPr>
        <w:t>TPs</w:t>
      </w:r>
      <w:proofErr w:type="spellEnd"/>
      <w:r>
        <w:rPr>
          <w:rFonts w:ascii="Trebuchet MS" w:hAnsi="Trebuchet MS"/>
          <w:sz w:val="20"/>
          <w:szCs w:val="20"/>
        </w:rPr>
        <w:t xml:space="preserve"> where the quota share only applies to UK liabilities in the Ceded </w:t>
      </w:r>
      <w:proofErr w:type="spellStart"/>
      <w:r>
        <w:rPr>
          <w:rFonts w:ascii="Trebuchet MS" w:hAnsi="Trebuchet MS"/>
          <w:sz w:val="20"/>
          <w:szCs w:val="20"/>
        </w:rPr>
        <w:t>TP</w:t>
      </w:r>
      <w:proofErr w:type="spellEnd"/>
      <w:r>
        <w:rPr>
          <w:rFonts w:ascii="Trebuchet MS" w:hAnsi="Trebuchet MS"/>
          <w:sz w:val="20"/>
          <w:szCs w:val="20"/>
        </w:rPr>
        <w:t xml:space="preserve"> tables above.</w:t>
      </w:r>
    </w:p>
    <w:p w14:paraId="5CBD914E" w14:textId="79A5476D" w:rsidR="005E5C4E" w:rsidRPr="007337C6" w:rsidRDefault="005E5C4E" w:rsidP="00B65495">
      <w:pPr>
        <w:pStyle w:val="Heading1"/>
        <w:numPr>
          <w:ilvl w:val="1"/>
          <w:numId w:val="1"/>
        </w:numPr>
        <w:rPr>
          <w:color w:val="0070C0"/>
        </w:rPr>
      </w:pPr>
      <w:bookmarkStart w:id="81" w:name="_Toc52451883"/>
      <w:r w:rsidRPr="007337C6">
        <w:rPr>
          <w:color w:val="0070C0"/>
        </w:rPr>
        <w:lastRenderedPageBreak/>
        <w:t>Liabilities to be transferred</w:t>
      </w:r>
      <w:r w:rsidR="000D23CD">
        <w:rPr>
          <w:color w:val="0070C0"/>
        </w:rPr>
        <w:t xml:space="preserve"> as at 2Q20</w:t>
      </w:r>
      <w:bookmarkEnd w:id="81"/>
    </w:p>
    <w:p w14:paraId="34D54936" w14:textId="66F29EF9" w:rsidR="0061459C" w:rsidRPr="007337C6" w:rsidRDefault="0073444A" w:rsidP="007D07E8">
      <w:pPr>
        <w:rPr>
          <w:rFonts w:ascii="Trebuchet MS" w:hAnsi="Trebuchet MS"/>
          <w:sz w:val="20"/>
          <w:szCs w:val="20"/>
        </w:rPr>
      </w:pPr>
      <w:r w:rsidRPr="007337C6">
        <w:rPr>
          <w:rFonts w:ascii="Trebuchet MS" w:hAnsi="Trebuchet MS"/>
          <w:sz w:val="20"/>
          <w:szCs w:val="20"/>
        </w:rPr>
        <w:t xml:space="preserve">The </w:t>
      </w:r>
      <w:r w:rsidR="00A95E00" w:rsidRPr="007337C6">
        <w:rPr>
          <w:rFonts w:ascii="Trebuchet MS" w:hAnsi="Trebuchet MS"/>
          <w:sz w:val="20"/>
          <w:szCs w:val="20"/>
        </w:rPr>
        <w:t xml:space="preserve">actual </w:t>
      </w:r>
      <w:r w:rsidR="00E50EDE" w:rsidRPr="007337C6">
        <w:rPr>
          <w:rFonts w:ascii="Trebuchet MS" w:hAnsi="Trebuchet MS"/>
          <w:sz w:val="20"/>
          <w:szCs w:val="20"/>
        </w:rPr>
        <w:t>Technical Provision</w:t>
      </w:r>
      <w:r w:rsidR="00FE2998" w:rsidRPr="007337C6">
        <w:rPr>
          <w:rFonts w:ascii="Trebuchet MS" w:hAnsi="Trebuchet MS"/>
          <w:sz w:val="20"/>
          <w:szCs w:val="20"/>
        </w:rPr>
        <w:t>s</w:t>
      </w:r>
      <w:r w:rsidR="0079102B" w:rsidRPr="007337C6">
        <w:rPr>
          <w:rFonts w:ascii="Trebuchet MS" w:hAnsi="Trebuchet MS"/>
          <w:sz w:val="20"/>
          <w:szCs w:val="20"/>
        </w:rPr>
        <w:t xml:space="preserve"> (excluding risk margin)</w:t>
      </w:r>
      <w:r w:rsidRPr="007337C6">
        <w:rPr>
          <w:rFonts w:ascii="Trebuchet MS" w:hAnsi="Trebuchet MS"/>
          <w:sz w:val="20"/>
          <w:szCs w:val="20"/>
        </w:rPr>
        <w:t xml:space="preserve"> </w:t>
      </w:r>
      <w:r w:rsidR="00A95E00" w:rsidRPr="007337C6">
        <w:rPr>
          <w:rFonts w:ascii="Trebuchet MS" w:hAnsi="Trebuchet MS"/>
          <w:sz w:val="20"/>
          <w:szCs w:val="20"/>
        </w:rPr>
        <w:t xml:space="preserve">on </w:t>
      </w:r>
      <w:r w:rsidR="00FB6237" w:rsidRPr="007337C6">
        <w:rPr>
          <w:rFonts w:ascii="Trebuchet MS" w:hAnsi="Trebuchet MS"/>
          <w:sz w:val="20"/>
          <w:szCs w:val="20"/>
        </w:rPr>
        <w:t>Solvency II</w:t>
      </w:r>
      <w:r w:rsidRPr="007337C6">
        <w:rPr>
          <w:rFonts w:ascii="Trebuchet MS" w:hAnsi="Trebuchet MS"/>
          <w:sz w:val="20"/>
          <w:szCs w:val="20"/>
        </w:rPr>
        <w:t xml:space="preserve"> basis </w:t>
      </w:r>
      <w:r w:rsidR="0061459C" w:rsidRPr="007337C6">
        <w:rPr>
          <w:rFonts w:ascii="Trebuchet MS" w:hAnsi="Trebuchet MS"/>
          <w:sz w:val="20"/>
          <w:szCs w:val="20"/>
        </w:rPr>
        <w:t>as at 2Q20</w:t>
      </w:r>
      <w:r w:rsidR="00701F50" w:rsidRPr="007337C6">
        <w:rPr>
          <w:rFonts w:ascii="Trebuchet MS" w:hAnsi="Trebuchet MS"/>
          <w:sz w:val="20"/>
          <w:szCs w:val="20"/>
        </w:rPr>
        <w:t xml:space="preserve"> </w:t>
      </w:r>
      <w:r w:rsidRPr="007337C6">
        <w:rPr>
          <w:rFonts w:ascii="Trebuchet MS" w:hAnsi="Trebuchet MS"/>
          <w:sz w:val="20"/>
          <w:szCs w:val="20"/>
        </w:rPr>
        <w:t xml:space="preserve">are </w:t>
      </w:r>
      <w:r w:rsidR="0079102B" w:rsidRPr="007337C6">
        <w:rPr>
          <w:rFonts w:ascii="Trebuchet MS" w:hAnsi="Trebuchet MS"/>
          <w:sz w:val="20"/>
          <w:szCs w:val="20"/>
        </w:rPr>
        <w:t xml:space="preserve">summarised below for </w:t>
      </w:r>
      <w:r w:rsidR="00C407B1" w:rsidRPr="007337C6">
        <w:rPr>
          <w:rFonts w:ascii="Trebuchet MS" w:hAnsi="Trebuchet MS"/>
          <w:sz w:val="20"/>
          <w:szCs w:val="20"/>
        </w:rPr>
        <w:t>the Transfer</w:t>
      </w:r>
      <w:r w:rsidR="0079102B" w:rsidRPr="007337C6">
        <w:rPr>
          <w:rFonts w:ascii="Trebuchet MS" w:hAnsi="Trebuchet MS"/>
          <w:sz w:val="20"/>
          <w:szCs w:val="20"/>
        </w:rPr>
        <w:t xml:space="preserve">ors </w:t>
      </w:r>
      <w:r w:rsidR="0027043F" w:rsidRPr="007337C6">
        <w:rPr>
          <w:rFonts w:ascii="Trebuchet MS" w:hAnsi="Trebuchet MS"/>
          <w:sz w:val="20"/>
          <w:szCs w:val="20"/>
        </w:rPr>
        <w:t xml:space="preserve">(AGIL and LGI) </w:t>
      </w:r>
      <w:r w:rsidR="0079102B" w:rsidRPr="007337C6">
        <w:rPr>
          <w:rFonts w:ascii="Trebuchet MS" w:hAnsi="Trebuchet MS"/>
          <w:sz w:val="20"/>
          <w:szCs w:val="20"/>
        </w:rPr>
        <w:t xml:space="preserve">and transferee </w:t>
      </w:r>
      <w:r w:rsidR="0027043F" w:rsidRPr="007337C6">
        <w:rPr>
          <w:rFonts w:ascii="Trebuchet MS" w:hAnsi="Trebuchet MS"/>
          <w:sz w:val="20"/>
          <w:szCs w:val="20"/>
        </w:rPr>
        <w:t xml:space="preserve">(AEI) </w:t>
      </w:r>
      <w:r w:rsidR="0079102B" w:rsidRPr="007337C6">
        <w:rPr>
          <w:rFonts w:ascii="Trebuchet MS" w:hAnsi="Trebuchet MS"/>
          <w:sz w:val="20"/>
          <w:szCs w:val="20"/>
        </w:rPr>
        <w:t xml:space="preserve">entities. </w:t>
      </w:r>
      <w:r w:rsidR="00701F50" w:rsidRPr="007337C6">
        <w:rPr>
          <w:rFonts w:ascii="Trebuchet MS" w:hAnsi="Trebuchet MS"/>
          <w:sz w:val="20"/>
          <w:szCs w:val="20"/>
        </w:rPr>
        <w:t xml:space="preserve">Note that the </w:t>
      </w:r>
      <w:proofErr w:type="spellStart"/>
      <w:r w:rsidR="00701F50" w:rsidRPr="007337C6">
        <w:rPr>
          <w:rFonts w:ascii="Trebuchet MS" w:hAnsi="Trebuchet MS"/>
          <w:sz w:val="20"/>
          <w:szCs w:val="20"/>
        </w:rPr>
        <w:t>TPs</w:t>
      </w:r>
      <w:proofErr w:type="spellEnd"/>
      <w:r w:rsidR="00701F50" w:rsidRPr="007337C6">
        <w:rPr>
          <w:rFonts w:ascii="Trebuchet MS" w:hAnsi="Trebuchet MS"/>
          <w:sz w:val="20"/>
          <w:szCs w:val="20"/>
        </w:rPr>
        <w:t xml:space="preserve"> </w:t>
      </w:r>
      <w:r w:rsidR="00664D75" w:rsidRPr="007337C6">
        <w:rPr>
          <w:rFonts w:ascii="Trebuchet MS" w:hAnsi="Trebuchet MS"/>
          <w:sz w:val="20"/>
          <w:szCs w:val="20"/>
        </w:rPr>
        <w:t xml:space="preserve">summarised </w:t>
      </w:r>
      <w:r w:rsidR="00701F50" w:rsidRPr="007337C6">
        <w:rPr>
          <w:rFonts w:ascii="Trebuchet MS" w:hAnsi="Trebuchet MS"/>
          <w:sz w:val="20"/>
          <w:szCs w:val="20"/>
        </w:rPr>
        <w:t xml:space="preserve">below are the best estimates, and, in their derivation, the actuarial reserving teams have included some allowance for </w:t>
      </w:r>
      <w:r w:rsidR="005E55C1">
        <w:rPr>
          <w:rFonts w:ascii="Trebuchet MS" w:hAnsi="Trebuchet MS"/>
          <w:sz w:val="20"/>
          <w:szCs w:val="20"/>
        </w:rPr>
        <w:t>COVID-19</w:t>
      </w:r>
      <w:r w:rsidR="00701F50" w:rsidRPr="007337C6">
        <w:rPr>
          <w:rFonts w:ascii="Trebuchet MS" w:hAnsi="Trebuchet MS"/>
          <w:sz w:val="20"/>
          <w:szCs w:val="20"/>
        </w:rPr>
        <w:t xml:space="preserve">. However, these best estimates have not been stressed further for </w:t>
      </w:r>
      <w:r w:rsidR="005E55C1">
        <w:rPr>
          <w:rFonts w:ascii="Trebuchet MS" w:hAnsi="Trebuchet MS"/>
          <w:sz w:val="20"/>
          <w:szCs w:val="20"/>
        </w:rPr>
        <w:t>COVID-19</w:t>
      </w:r>
      <w:r w:rsidR="00701F50" w:rsidRPr="007337C6">
        <w:rPr>
          <w:rFonts w:ascii="Trebuchet MS" w:hAnsi="Trebuchet MS"/>
          <w:sz w:val="20"/>
          <w:szCs w:val="20"/>
        </w:rPr>
        <w:t xml:space="preserve"> impact</w:t>
      </w:r>
      <w:r w:rsidR="00AC3C1E" w:rsidRPr="007337C6">
        <w:rPr>
          <w:rFonts w:ascii="Trebuchet MS" w:hAnsi="Trebuchet MS"/>
          <w:sz w:val="20"/>
          <w:szCs w:val="20"/>
        </w:rPr>
        <w:t xml:space="preserve">, i.e. the additional </w:t>
      </w:r>
      <w:proofErr w:type="spellStart"/>
      <w:r w:rsidR="00AC3C1E" w:rsidRPr="007337C6">
        <w:rPr>
          <w:rFonts w:ascii="Trebuchet MS" w:hAnsi="Trebuchet MS"/>
          <w:sz w:val="20"/>
          <w:szCs w:val="20"/>
        </w:rPr>
        <w:t>TPs</w:t>
      </w:r>
      <w:proofErr w:type="spellEnd"/>
      <w:r w:rsidR="00AC3C1E" w:rsidRPr="007337C6">
        <w:rPr>
          <w:rFonts w:ascii="Trebuchet MS" w:hAnsi="Trebuchet MS"/>
          <w:sz w:val="20"/>
          <w:szCs w:val="20"/>
        </w:rPr>
        <w:t xml:space="preserve"> uplift of 3% for LGI and 2% for AGIL to allow for </w:t>
      </w:r>
      <w:r w:rsidR="005E55C1">
        <w:rPr>
          <w:rFonts w:ascii="Trebuchet MS" w:hAnsi="Trebuchet MS"/>
          <w:sz w:val="20"/>
          <w:szCs w:val="20"/>
        </w:rPr>
        <w:t>COVID-19</w:t>
      </w:r>
      <w:r w:rsidR="00AC3C1E" w:rsidRPr="007337C6">
        <w:rPr>
          <w:rFonts w:ascii="Trebuchet MS" w:hAnsi="Trebuchet MS"/>
          <w:sz w:val="20"/>
          <w:szCs w:val="20"/>
        </w:rPr>
        <w:t xml:space="preserve"> stresses are not included in the </w:t>
      </w:r>
      <w:proofErr w:type="spellStart"/>
      <w:r w:rsidR="00AC3C1E" w:rsidRPr="007337C6">
        <w:rPr>
          <w:rFonts w:ascii="Trebuchet MS" w:hAnsi="Trebuchet MS"/>
          <w:sz w:val="20"/>
          <w:szCs w:val="20"/>
        </w:rPr>
        <w:t>TPs</w:t>
      </w:r>
      <w:proofErr w:type="spellEnd"/>
      <w:r w:rsidR="00AC3C1E" w:rsidRPr="007337C6">
        <w:rPr>
          <w:rFonts w:ascii="Trebuchet MS" w:hAnsi="Trebuchet MS"/>
          <w:sz w:val="20"/>
          <w:szCs w:val="20"/>
        </w:rPr>
        <w:t xml:space="preserve"> presented below.</w:t>
      </w:r>
      <w:r w:rsidR="007D07E8" w:rsidRPr="007337C6">
        <w:rPr>
          <w:rFonts w:ascii="Trebuchet MS" w:hAnsi="Trebuchet MS"/>
          <w:sz w:val="20"/>
          <w:szCs w:val="20"/>
        </w:rPr>
        <w:br/>
      </w:r>
    </w:p>
    <w:tbl>
      <w:tblPr>
        <w:tblW w:w="9924" w:type="dxa"/>
        <w:tblLook w:val="04A0" w:firstRow="1" w:lastRow="0" w:firstColumn="1" w:lastColumn="0" w:noHBand="0" w:noVBand="1"/>
      </w:tblPr>
      <w:tblGrid>
        <w:gridCol w:w="1485"/>
        <w:gridCol w:w="812"/>
        <w:gridCol w:w="1055"/>
        <w:gridCol w:w="922"/>
        <w:gridCol w:w="812"/>
        <w:gridCol w:w="807"/>
        <w:gridCol w:w="812"/>
        <w:gridCol w:w="1055"/>
        <w:gridCol w:w="922"/>
        <w:gridCol w:w="724"/>
        <w:gridCol w:w="807"/>
      </w:tblGrid>
      <w:tr w:rsidR="00F86741" w:rsidRPr="007337C6" w14:paraId="701E8DB8" w14:textId="77777777" w:rsidTr="00F86741">
        <w:trPr>
          <w:trHeight w:val="266"/>
        </w:trPr>
        <w:tc>
          <w:tcPr>
            <w:tcW w:w="3171" w:type="dxa"/>
            <w:gridSpan w:val="3"/>
            <w:tcBorders>
              <w:top w:val="nil"/>
              <w:left w:val="nil"/>
              <w:bottom w:val="nil"/>
              <w:right w:val="nil"/>
            </w:tcBorders>
            <w:shd w:val="clear" w:color="auto" w:fill="auto"/>
            <w:noWrap/>
            <w:vAlign w:val="bottom"/>
            <w:hideMark/>
          </w:tcPr>
          <w:p w14:paraId="43E03ECD" w14:textId="77777777" w:rsidR="00F86741" w:rsidRPr="007337C6" w:rsidRDefault="00F86741" w:rsidP="00F86741">
            <w:pPr>
              <w:spacing w:after="0" w:line="240" w:lineRule="auto"/>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 xml:space="preserve">Gross </w:t>
            </w:r>
            <w:proofErr w:type="spellStart"/>
            <w:r w:rsidRPr="007337C6">
              <w:rPr>
                <w:rFonts w:ascii="Trebuchet MS" w:eastAsia="Times New Roman" w:hAnsi="Trebuchet MS" w:cs="Times New Roman"/>
                <w:color w:val="000000"/>
                <w:sz w:val="16"/>
                <w:szCs w:val="16"/>
                <w:lang w:eastAsia="en-GB"/>
              </w:rPr>
              <w:t>TPs</w:t>
            </w:r>
            <w:proofErr w:type="spellEnd"/>
            <w:r w:rsidRPr="007337C6">
              <w:rPr>
                <w:rFonts w:ascii="Trebuchet MS" w:eastAsia="Times New Roman" w:hAnsi="Trebuchet MS" w:cs="Times New Roman"/>
                <w:color w:val="000000"/>
                <w:sz w:val="16"/>
                <w:szCs w:val="16"/>
                <w:lang w:eastAsia="en-GB"/>
              </w:rPr>
              <w:t xml:space="preserve"> as at Q22020 £000s</w:t>
            </w:r>
          </w:p>
        </w:tc>
        <w:tc>
          <w:tcPr>
            <w:tcW w:w="922" w:type="dxa"/>
            <w:tcBorders>
              <w:top w:val="nil"/>
              <w:left w:val="nil"/>
              <w:bottom w:val="nil"/>
              <w:right w:val="nil"/>
            </w:tcBorders>
            <w:shd w:val="clear" w:color="auto" w:fill="auto"/>
            <w:noWrap/>
            <w:vAlign w:val="bottom"/>
            <w:hideMark/>
          </w:tcPr>
          <w:p w14:paraId="0CD61E6C" w14:textId="77777777" w:rsidR="00F86741" w:rsidRPr="007337C6" w:rsidRDefault="00F86741" w:rsidP="00F86741">
            <w:pPr>
              <w:spacing w:after="0" w:line="240" w:lineRule="auto"/>
              <w:rPr>
                <w:rFonts w:ascii="Trebuchet MS" w:eastAsia="Times New Roman" w:hAnsi="Trebuchet MS" w:cs="Times New Roman"/>
                <w:color w:val="000000"/>
                <w:sz w:val="16"/>
                <w:szCs w:val="16"/>
                <w:lang w:eastAsia="en-GB"/>
              </w:rPr>
            </w:pPr>
          </w:p>
        </w:tc>
        <w:tc>
          <w:tcPr>
            <w:tcW w:w="807" w:type="dxa"/>
            <w:tcBorders>
              <w:top w:val="nil"/>
              <w:left w:val="nil"/>
              <w:bottom w:val="nil"/>
              <w:right w:val="nil"/>
            </w:tcBorders>
            <w:shd w:val="clear" w:color="auto" w:fill="auto"/>
            <w:noWrap/>
            <w:vAlign w:val="bottom"/>
            <w:hideMark/>
          </w:tcPr>
          <w:p w14:paraId="0D59CC3C" w14:textId="77777777" w:rsidR="00F86741" w:rsidRPr="007337C6" w:rsidRDefault="00F86741" w:rsidP="00F86741">
            <w:pPr>
              <w:spacing w:after="0" w:line="240" w:lineRule="auto"/>
              <w:rPr>
                <w:rFonts w:ascii="Trebuchet MS" w:eastAsia="Times New Roman" w:hAnsi="Trebuchet MS" w:cs="Times New Roman"/>
                <w:sz w:val="16"/>
                <w:szCs w:val="16"/>
                <w:lang w:eastAsia="en-GB"/>
              </w:rPr>
            </w:pPr>
          </w:p>
        </w:tc>
        <w:tc>
          <w:tcPr>
            <w:tcW w:w="807" w:type="dxa"/>
            <w:tcBorders>
              <w:top w:val="nil"/>
              <w:left w:val="nil"/>
              <w:bottom w:val="nil"/>
              <w:right w:val="nil"/>
            </w:tcBorders>
            <w:shd w:val="clear" w:color="auto" w:fill="auto"/>
            <w:noWrap/>
            <w:vAlign w:val="bottom"/>
            <w:hideMark/>
          </w:tcPr>
          <w:p w14:paraId="48FCD9B6" w14:textId="77777777" w:rsidR="00F86741" w:rsidRPr="007337C6" w:rsidRDefault="00F86741" w:rsidP="00F86741">
            <w:pPr>
              <w:spacing w:after="0" w:line="240" w:lineRule="auto"/>
              <w:rPr>
                <w:rFonts w:ascii="Trebuchet MS" w:eastAsia="Times New Roman" w:hAnsi="Trebuchet MS" w:cs="Times New Roman"/>
                <w:sz w:val="16"/>
                <w:szCs w:val="16"/>
                <w:lang w:eastAsia="en-GB"/>
              </w:rPr>
            </w:pPr>
          </w:p>
        </w:tc>
        <w:tc>
          <w:tcPr>
            <w:tcW w:w="807" w:type="dxa"/>
            <w:tcBorders>
              <w:top w:val="nil"/>
              <w:left w:val="nil"/>
              <w:bottom w:val="nil"/>
              <w:right w:val="nil"/>
            </w:tcBorders>
            <w:shd w:val="clear" w:color="auto" w:fill="auto"/>
            <w:noWrap/>
            <w:vAlign w:val="bottom"/>
            <w:hideMark/>
          </w:tcPr>
          <w:p w14:paraId="2738F2A3" w14:textId="77777777" w:rsidR="00F86741" w:rsidRPr="007337C6" w:rsidRDefault="00F86741" w:rsidP="00F86741">
            <w:pPr>
              <w:spacing w:after="0" w:line="240" w:lineRule="auto"/>
              <w:rPr>
                <w:rFonts w:ascii="Trebuchet MS" w:eastAsia="Times New Roman" w:hAnsi="Trebuchet MS" w:cs="Times New Roman"/>
                <w:sz w:val="16"/>
                <w:szCs w:val="16"/>
                <w:lang w:eastAsia="en-GB"/>
              </w:rPr>
            </w:pPr>
          </w:p>
        </w:tc>
        <w:tc>
          <w:tcPr>
            <w:tcW w:w="955" w:type="dxa"/>
            <w:tcBorders>
              <w:top w:val="nil"/>
              <w:left w:val="nil"/>
              <w:bottom w:val="nil"/>
              <w:right w:val="nil"/>
            </w:tcBorders>
            <w:shd w:val="clear" w:color="auto" w:fill="auto"/>
            <w:noWrap/>
            <w:vAlign w:val="bottom"/>
            <w:hideMark/>
          </w:tcPr>
          <w:p w14:paraId="4EC110AF" w14:textId="77777777" w:rsidR="00F86741" w:rsidRPr="007337C6" w:rsidRDefault="00F86741" w:rsidP="00F86741">
            <w:pPr>
              <w:spacing w:after="0" w:line="240" w:lineRule="auto"/>
              <w:rPr>
                <w:rFonts w:ascii="Trebuchet MS" w:eastAsia="Times New Roman" w:hAnsi="Trebuchet MS" w:cs="Times New Roman"/>
                <w:sz w:val="16"/>
                <w:szCs w:val="16"/>
                <w:lang w:eastAsia="en-GB"/>
              </w:rPr>
            </w:pPr>
          </w:p>
        </w:tc>
        <w:tc>
          <w:tcPr>
            <w:tcW w:w="922" w:type="dxa"/>
            <w:tcBorders>
              <w:top w:val="nil"/>
              <w:left w:val="nil"/>
              <w:bottom w:val="nil"/>
              <w:right w:val="nil"/>
            </w:tcBorders>
            <w:shd w:val="clear" w:color="auto" w:fill="auto"/>
            <w:noWrap/>
            <w:vAlign w:val="bottom"/>
            <w:hideMark/>
          </w:tcPr>
          <w:p w14:paraId="5FA9EFA0" w14:textId="77777777" w:rsidR="00F86741" w:rsidRPr="007337C6" w:rsidRDefault="00F86741" w:rsidP="00F86741">
            <w:pPr>
              <w:spacing w:after="0" w:line="240" w:lineRule="auto"/>
              <w:rPr>
                <w:rFonts w:ascii="Trebuchet MS" w:eastAsia="Times New Roman" w:hAnsi="Trebuchet MS" w:cs="Times New Roman"/>
                <w:sz w:val="16"/>
                <w:szCs w:val="16"/>
                <w:lang w:eastAsia="en-GB"/>
              </w:rPr>
            </w:pPr>
          </w:p>
        </w:tc>
        <w:tc>
          <w:tcPr>
            <w:tcW w:w="724" w:type="dxa"/>
            <w:tcBorders>
              <w:top w:val="nil"/>
              <w:left w:val="nil"/>
              <w:bottom w:val="nil"/>
              <w:right w:val="nil"/>
            </w:tcBorders>
            <w:shd w:val="clear" w:color="auto" w:fill="auto"/>
            <w:noWrap/>
            <w:vAlign w:val="bottom"/>
            <w:hideMark/>
          </w:tcPr>
          <w:p w14:paraId="155AB61A" w14:textId="77777777" w:rsidR="00F86741" w:rsidRPr="007337C6" w:rsidRDefault="00F86741" w:rsidP="00F86741">
            <w:pPr>
              <w:spacing w:after="0" w:line="240" w:lineRule="auto"/>
              <w:rPr>
                <w:rFonts w:ascii="Trebuchet MS" w:eastAsia="Times New Roman" w:hAnsi="Trebuchet MS" w:cs="Times New Roman"/>
                <w:sz w:val="16"/>
                <w:szCs w:val="16"/>
                <w:lang w:eastAsia="en-GB"/>
              </w:rPr>
            </w:pPr>
          </w:p>
        </w:tc>
        <w:tc>
          <w:tcPr>
            <w:tcW w:w="807" w:type="dxa"/>
            <w:tcBorders>
              <w:top w:val="nil"/>
              <w:left w:val="nil"/>
              <w:bottom w:val="nil"/>
              <w:right w:val="nil"/>
            </w:tcBorders>
            <w:shd w:val="clear" w:color="auto" w:fill="auto"/>
            <w:noWrap/>
            <w:vAlign w:val="bottom"/>
            <w:hideMark/>
          </w:tcPr>
          <w:p w14:paraId="5408C947" w14:textId="77777777" w:rsidR="00F86741" w:rsidRPr="007337C6" w:rsidRDefault="00F86741" w:rsidP="00F86741">
            <w:pPr>
              <w:spacing w:after="0" w:line="240" w:lineRule="auto"/>
              <w:rPr>
                <w:rFonts w:ascii="Trebuchet MS" w:eastAsia="Times New Roman" w:hAnsi="Trebuchet MS" w:cs="Times New Roman"/>
                <w:sz w:val="16"/>
                <w:szCs w:val="16"/>
                <w:lang w:eastAsia="en-GB"/>
              </w:rPr>
            </w:pPr>
          </w:p>
        </w:tc>
      </w:tr>
      <w:tr w:rsidR="00F86741" w:rsidRPr="007337C6" w14:paraId="43A3F6B2" w14:textId="77777777" w:rsidTr="00F86741">
        <w:trPr>
          <w:trHeight w:val="276"/>
        </w:trPr>
        <w:tc>
          <w:tcPr>
            <w:tcW w:w="1485" w:type="dxa"/>
            <w:tcBorders>
              <w:top w:val="nil"/>
              <w:left w:val="nil"/>
              <w:bottom w:val="nil"/>
              <w:right w:val="nil"/>
            </w:tcBorders>
            <w:shd w:val="clear" w:color="auto" w:fill="auto"/>
            <w:noWrap/>
            <w:vAlign w:val="bottom"/>
            <w:hideMark/>
          </w:tcPr>
          <w:p w14:paraId="5F2FBF62" w14:textId="77777777" w:rsidR="00F86741" w:rsidRPr="007337C6" w:rsidRDefault="00F86741" w:rsidP="00F86741">
            <w:pPr>
              <w:spacing w:after="0" w:line="240" w:lineRule="auto"/>
              <w:rPr>
                <w:rFonts w:ascii="Trebuchet MS" w:eastAsia="Times New Roman" w:hAnsi="Trebuchet MS" w:cs="Times New Roman"/>
                <w:sz w:val="16"/>
                <w:szCs w:val="16"/>
                <w:lang w:eastAsia="en-GB"/>
              </w:rPr>
            </w:pPr>
          </w:p>
        </w:tc>
        <w:tc>
          <w:tcPr>
            <w:tcW w:w="2608" w:type="dxa"/>
            <w:gridSpan w:val="3"/>
            <w:tcBorders>
              <w:top w:val="single" w:sz="8" w:space="0" w:color="0070C0"/>
              <w:left w:val="single" w:sz="8" w:space="0" w:color="0070C0"/>
              <w:bottom w:val="single" w:sz="8" w:space="0" w:color="0070C0"/>
              <w:right w:val="single" w:sz="8" w:space="0" w:color="0070C0"/>
            </w:tcBorders>
            <w:shd w:val="clear" w:color="auto" w:fill="auto"/>
            <w:noWrap/>
            <w:vAlign w:val="center"/>
            <w:hideMark/>
          </w:tcPr>
          <w:p w14:paraId="45CDF00A" w14:textId="77777777" w:rsidR="00F86741" w:rsidRPr="006C303A" w:rsidRDefault="00F86741" w:rsidP="00F86741">
            <w:pPr>
              <w:spacing w:after="0" w:line="240" w:lineRule="auto"/>
              <w:jc w:val="center"/>
              <w:rPr>
                <w:rFonts w:ascii="Trebuchet MS" w:eastAsia="Times New Roman" w:hAnsi="Trebuchet MS" w:cs="Times New Roman"/>
                <w:b/>
                <w:bCs/>
                <w:color w:val="0070C0"/>
                <w:sz w:val="16"/>
                <w:szCs w:val="16"/>
                <w:lang w:eastAsia="en-GB"/>
              </w:rPr>
            </w:pPr>
            <w:r w:rsidRPr="006C303A">
              <w:rPr>
                <w:rFonts w:ascii="Trebuchet MS" w:eastAsia="Times New Roman" w:hAnsi="Trebuchet MS" w:cs="Times New Roman"/>
                <w:b/>
                <w:bCs/>
                <w:color w:val="0070C0"/>
                <w:sz w:val="16"/>
                <w:szCs w:val="16"/>
                <w:lang w:eastAsia="en-GB"/>
              </w:rPr>
              <w:t>Before Scheme</w:t>
            </w:r>
          </w:p>
        </w:tc>
        <w:tc>
          <w:tcPr>
            <w:tcW w:w="2421" w:type="dxa"/>
            <w:gridSpan w:val="3"/>
            <w:tcBorders>
              <w:top w:val="single" w:sz="8" w:space="0" w:color="0070C0"/>
              <w:left w:val="nil"/>
              <w:bottom w:val="single" w:sz="8" w:space="0" w:color="0070C0"/>
              <w:right w:val="single" w:sz="8" w:space="0" w:color="0070C0"/>
            </w:tcBorders>
            <w:shd w:val="clear" w:color="auto" w:fill="auto"/>
            <w:noWrap/>
            <w:vAlign w:val="center"/>
            <w:hideMark/>
          </w:tcPr>
          <w:p w14:paraId="087E7685" w14:textId="77777777" w:rsidR="00F86741" w:rsidRPr="006C303A" w:rsidRDefault="00F86741" w:rsidP="00F86741">
            <w:pPr>
              <w:spacing w:after="0" w:line="240" w:lineRule="auto"/>
              <w:jc w:val="center"/>
              <w:rPr>
                <w:rFonts w:ascii="Trebuchet MS" w:eastAsia="Times New Roman" w:hAnsi="Trebuchet MS" w:cs="Times New Roman"/>
                <w:b/>
                <w:bCs/>
                <w:color w:val="0070C0"/>
                <w:sz w:val="16"/>
                <w:szCs w:val="16"/>
                <w:lang w:eastAsia="en-GB"/>
              </w:rPr>
            </w:pPr>
            <w:r w:rsidRPr="006C303A">
              <w:rPr>
                <w:rFonts w:ascii="Trebuchet MS" w:eastAsia="Times New Roman" w:hAnsi="Trebuchet MS" w:cs="Times New Roman"/>
                <w:b/>
                <w:bCs/>
                <w:color w:val="0070C0"/>
                <w:sz w:val="16"/>
                <w:szCs w:val="16"/>
                <w:lang w:eastAsia="en-GB"/>
              </w:rPr>
              <w:t>After Scheme</w:t>
            </w:r>
          </w:p>
        </w:tc>
        <w:tc>
          <w:tcPr>
            <w:tcW w:w="955" w:type="dxa"/>
            <w:tcBorders>
              <w:top w:val="nil"/>
              <w:left w:val="nil"/>
              <w:bottom w:val="nil"/>
              <w:right w:val="nil"/>
            </w:tcBorders>
            <w:shd w:val="clear" w:color="auto" w:fill="auto"/>
            <w:noWrap/>
            <w:vAlign w:val="bottom"/>
            <w:hideMark/>
          </w:tcPr>
          <w:p w14:paraId="76957958" w14:textId="77777777" w:rsidR="00F86741" w:rsidRPr="007337C6" w:rsidRDefault="00F86741" w:rsidP="00F86741">
            <w:pPr>
              <w:spacing w:after="0" w:line="240" w:lineRule="auto"/>
              <w:jc w:val="center"/>
              <w:rPr>
                <w:rFonts w:ascii="Trebuchet MS" w:eastAsia="Times New Roman" w:hAnsi="Trebuchet MS" w:cs="Times New Roman"/>
                <w:color w:val="0070C0"/>
                <w:sz w:val="16"/>
                <w:szCs w:val="16"/>
                <w:lang w:eastAsia="en-GB"/>
              </w:rPr>
            </w:pPr>
          </w:p>
        </w:tc>
        <w:tc>
          <w:tcPr>
            <w:tcW w:w="922" w:type="dxa"/>
            <w:tcBorders>
              <w:top w:val="nil"/>
              <w:left w:val="nil"/>
              <w:bottom w:val="nil"/>
              <w:right w:val="nil"/>
            </w:tcBorders>
            <w:shd w:val="clear" w:color="auto" w:fill="auto"/>
            <w:noWrap/>
            <w:vAlign w:val="bottom"/>
            <w:hideMark/>
          </w:tcPr>
          <w:p w14:paraId="5F5D2B8A" w14:textId="77777777" w:rsidR="00F86741" w:rsidRPr="007337C6" w:rsidRDefault="00F86741" w:rsidP="00F86741">
            <w:pPr>
              <w:spacing w:after="0" w:line="240" w:lineRule="auto"/>
              <w:rPr>
                <w:rFonts w:ascii="Trebuchet MS" w:eastAsia="Times New Roman" w:hAnsi="Trebuchet MS" w:cs="Times New Roman"/>
                <w:sz w:val="16"/>
                <w:szCs w:val="16"/>
                <w:lang w:eastAsia="en-GB"/>
              </w:rPr>
            </w:pPr>
          </w:p>
        </w:tc>
        <w:tc>
          <w:tcPr>
            <w:tcW w:w="724" w:type="dxa"/>
            <w:tcBorders>
              <w:top w:val="nil"/>
              <w:left w:val="nil"/>
              <w:bottom w:val="nil"/>
              <w:right w:val="nil"/>
            </w:tcBorders>
            <w:shd w:val="clear" w:color="auto" w:fill="auto"/>
            <w:noWrap/>
            <w:vAlign w:val="bottom"/>
            <w:hideMark/>
          </w:tcPr>
          <w:p w14:paraId="145C2FAB" w14:textId="77777777" w:rsidR="00F86741" w:rsidRPr="007337C6" w:rsidRDefault="00F86741" w:rsidP="00F86741">
            <w:pPr>
              <w:spacing w:after="0" w:line="240" w:lineRule="auto"/>
              <w:rPr>
                <w:rFonts w:ascii="Trebuchet MS" w:eastAsia="Times New Roman" w:hAnsi="Trebuchet MS" w:cs="Times New Roman"/>
                <w:sz w:val="16"/>
                <w:szCs w:val="16"/>
                <w:lang w:eastAsia="en-GB"/>
              </w:rPr>
            </w:pPr>
          </w:p>
        </w:tc>
        <w:tc>
          <w:tcPr>
            <w:tcW w:w="807" w:type="dxa"/>
            <w:tcBorders>
              <w:top w:val="nil"/>
              <w:left w:val="nil"/>
              <w:bottom w:val="nil"/>
              <w:right w:val="nil"/>
            </w:tcBorders>
            <w:shd w:val="clear" w:color="auto" w:fill="auto"/>
            <w:noWrap/>
            <w:vAlign w:val="bottom"/>
            <w:hideMark/>
          </w:tcPr>
          <w:p w14:paraId="2F9D6121" w14:textId="77777777" w:rsidR="00F86741" w:rsidRPr="007337C6" w:rsidRDefault="00F86741" w:rsidP="00F86741">
            <w:pPr>
              <w:spacing w:after="0" w:line="240" w:lineRule="auto"/>
              <w:rPr>
                <w:rFonts w:ascii="Trebuchet MS" w:eastAsia="Times New Roman" w:hAnsi="Trebuchet MS" w:cs="Times New Roman"/>
                <w:sz w:val="16"/>
                <w:szCs w:val="16"/>
                <w:lang w:eastAsia="en-GB"/>
              </w:rPr>
            </w:pPr>
          </w:p>
        </w:tc>
      </w:tr>
      <w:tr w:rsidR="00F86741" w:rsidRPr="007337C6" w14:paraId="0B824A99" w14:textId="77777777" w:rsidTr="00F86741">
        <w:trPr>
          <w:trHeight w:val="298"/>
        </w:trPr>
        <w:tc>
          <w:tcPr>
            <w:tcW w:w="1485" w:type="dxa"/>
            <w:tcBorders>
              <w:top w:val="nil"/>
              <w:left w:val="nil"/>
              <w:bottom w:val="nil"/>
              <w:right w:val="nil"/>
            </w:tcBorders>
            <w:shd w:val="clear" w:color="auto" w:fill="auto"/>
            <w:noWrap/>
            <w:vAlign w:val="center"/>
            <w:hideMark/>
          </w:tcPr>
          <w:p w14:paraId="043BDDFD" w14:textId="77777777" w:rsidR="00F86741" w:rsidRPr="007337C6" w:rsidRDefault="00F86741" w:rsidP="00F86741">
            <w:pPr>
              <w:spacing w:after="0" w:line="240" w:lineRule="auto"/>
              <w:jc w:val="center"/>
              <w:rPr>
                <w:rFonts w:ascii="Trebuchet MS" w:eastAsia="Times New Roman" w:hAnsi="Trebuchet MS" w:cs="Times New Roman"/>
                <w:b/>
                <w:bCs/>
                <w:color w:val="000000"/>
                <w:sz w:val="16"/>
                <w:szCs w:val="16"/>
                <w:lang w:eastAsia="en-GB"/>
              </w:rPr>
            </w:pPr>
            <w:r w:rsidRPr="007337C6">
              <w:rPr>
                <w:rFonts w:ascii="Trebuchet MS" w:eastAsia="Times New Roman" w:hAnsi="Trebuchet MS" w:cs="Times New Roman"/>
                <w:b/>
                <w:bCs/>
                <w:color w:val="000000"/>
                <w:sz w:val="16"/>
                <w:szCs w:val="16"/>
                <w:lang w:eastAsia="en-GB"/>
              </w:rPr>
              <w:t>AGIL</w:t>
            </w:r>
          </w:p>
        </w:tc>
        <w:tc>
          <w:tcPr>
            <w:tcW w:w="730" w:type="dxa"/>
            <w:tcBorders>
              <w:top w:val="nil"/>
              <w:left w:val="single" w:sz="8" w:space="0" w:color="0070C0"/>
              <w:bottom w:val="single" w:sz="8" w:space="0" w:color="0070C0"/>
              <w:right w:val="nil"/>
            </w:tcBorders>
            <w:shd w:val="clear" w:color="auto" w:fill="auto"/>
            <w:noWrap/>
            <w:vAlign w:val="center"/>
            <w:hideMark/>
          </w:tcPr>
          <w:p w14:paraId="07BFE5CA" w14:textId="77777777" w:rsidR="00F86741" w:rsidRPr="007337C6" w:rsidRDefault="00F86741" w:rsidP="00F86741">
            <w:pPr>
              <w:spacing w:after="0" w:line="240" w:lineRule="auto"/>
              <w:jc w:val="right"/>
              <w:rPr>
                <w:rFonts w:ascii="Trebuchet MS" w:eastAsia="Times New Roman" w:hAnsi="Trebuchet MS" w:cs="Times New Roman"/>
                <w:color w:val="0070C0"/>
                <w:sz w:val="16"/>
                <w:szCs w:val="16"/>
                <w:lang w:eastAsia="en-GB"/>
              </w:rPr>
            </w:pPr>
            <w:r w:rsidRPr="007337C6">
              <w:rPr>
                <w:rFonts w:ascii="Trebuchet MS" w:eastAsia="Times New Roman" w:hAnsi="Trebuchet MS" w:cs="Times New Roman"/>
                <w:color w:val="0070C0"/>
                <w:sz w:val="16"/>
                <w:szCs w:val="16"/>
                <w:lang w:eastAsia="en-GB"/>
              </w:rPr>
              <w:t>UK</w:t>
            </w:r>
          </w:p>
        </w:tc>
        <w:tc>
          <w:tcPr>
            <w:tcW w:w="955" w:type="dxa"/>
            <w:tcBorders>
              <w:top w:val="nil"/>
              <w:left w:val="nil"/>
              <w:bottom w:val="single" w:sz="8" w:space="0" w:color="0070C0"/>
              <w:right w:val="nil"/>
            </w:tcBorders>
            <w:shd w:val="clear" w:color="auto" w:fill="auto"/>
            <w:noWrap/>
            <w:vAlign w:val="center"/>
            <w:hideMark/>
          </w:tcPr>
          <w:p w14:paraId="67DF36AB" w14:textId="77777777" w:rsidR="00F86741" w:rsidRPr="007337C6" w:rsidRDefault="00F86741" w:rsidP="00F86741">
            <w:pPr>
              <w:spacing w:after="0" w:line="240" w:lineRule="auto"/>
              <w:jc w:val="right"/>
              <w:rPr>
                <w:rFonts w:ascii="Trebuchet MS" w:eastAsia="Times New Roman" w:hAnsi="Trebuchet MS" w:cs="Times New Roman"/>
                <w:color w:val="0070C0"/>
                <w:sz w:val="16"/>
                <w:szCs w:val="16"/>
                <w:lang w:eastAsia="en-GB"/>
              </w:rPr>
            </w:pPr>
            <w:r w:rsidRPr="007337C6">
              <w:rPr>
                <w:rFonts w:ascii="Trebuchet MS" w:eastAsia="Times New Roman" w:hAnsi="Trebuchet MS" w:cs="Times New Roman"/>
                <w:color w:val="0070C0"/>
                <w:sz w:val="16"/>
                <w:szCs w:val="16"/>
                <w:lang w:eastAsia="en-GB"/>
              </w:rPr>
              <w:t>EU</w:t>
            </w:r>
          </w:p>
        </w:tc>
        <w:tc>
          <w:tcPr>
            <w:tcW w:w="922" w:type="dxa"/>
            <w:tcBorders>
              <w:top w:val="nil"/>
              <w:left w:val="single" w:sz="8" w:space="0" w:color="0070C0"/>
              <w:bottom w:val="single" w:sz="8" w:space="0" w:color="0070C0"/>
              <w:right w:val="single" w:sz="8" w:space="0" w:color="0070C0"/>
            </w:tcBorders>
            <w:shd w:val="clear" w:color="auto" w:fill="auto"/>
            <w:noWrap/>
            <w:vAlign w:val="center"/>
            <w:hideMark/>
          </w:tcPr>
          <w:p w14:paraId="7941387A" w14:textId="77777777" w:rsidR="00F86741" w:rsidRPr="007337C6" w:rsidRDefault="00F86741" w:rsidP="00F86741">
            <w:pPr>
              <w:spacing w:after="0" w:line="240" w:lineRule="auto"/>
              <w:jc w:val="right"/>
              <w:rPr>
                <w:rFonts w:ascii="Trebuchet MS" w:eastAsia="Times New Roman" w:hAnsi="Trebuchet MS" w:cs="Times New Roman"/>
                <w:color w:val="0070C0"/>
                <w:sz w:val="16"/>
                <w:szCs w:val="16"/>
                <w:lang w:eastAsia="en-GB"/>
              </w:rPr>
            </w:pPr>
            <w:r w:rsidRPr="007337C6">
              <w:rPr>
                <w:rFonts w:ascii="Trebuchet MS" w:eastAsia="Times New Roman" w:hAnsi="Trebuchet MS" w:cs="Times New Roman"/>
                <w:color w:val="0070C0"/>
                <w:sz w:val="16"/>
                <w:szCs w:val="16"/>
                <w:lang w:eastAsia="en-GB"/>
              </w:rPr>
              <w:t>Total</w:t>
            </w:r>
          </w:p>
        </w:tc>
        <w:tc>
          <w:tcPr>
            <w:tcW w:w="807" w:type="dxa"/>
            <w:tcBorders>
              <w:top w:val="nil"/>
              <w:left w:val="nil"/>
              <w:bottom w:val="single" w:sz="8" w:space="0" w:color="0070C0"/>
              <w:right w:val="nil"/>
            </w:tcBorders>
            <w:shd w:val="clear" w:color="auto" w:fill="auto"/>
            <w:noWrap/>
            <w:vAlign w:val="center"/>
            <w:hideMark/>
          </w:tcPr>
          <w:p w14:paraId="562091E9" w14:textId="77777777" w:rsidR="00F86741" w:rsidRPr="007337C6" w:rsidRDefault="00F86741" w:rsidP="00F86741">
            <w:pPr>
              <w:spacing w:after="0" w:line="240" w:lineRule="auto"/>
              <w:jc w:val="right"/>
              <w:rPr>
                <w:rFonts w:ascii="Trebuchet MS" w:eastAsia="Times New Roman" w:hAnsi="Trebuchet MS" w:cs="Times New Roman"/>
                <w:color w:val="0070C0"/>
                <w:sz w:val="16"/>
                <w:szCs w:val="16"/>
                <w:lang w:eastAsia="en-GB"/>
              </w:rPr>
            </w:pPr>
            <w:r w:rsidRPr="007337C6">
              <w:rPr>
                <w:rFonts w:ascii="Trebuchet MS" w:eastAsia="Times New Roman" w:hAnsi="Trebuchet MS" w:cs="Times New Roman"/>
                <w:color w:val="0070C0"/>
                <w:sz w:val="16"/>
                <w:szCs w:val="16"/>
                <w:lang w:eastAsia="en-GB"/>
              </w:rPr>
              <w:t>UK</w:t>
            </w:r>
          </w:p>
        </w:tc>
        <w:tc>
          <w:tcPr>
            <w:tcW w:w="807" w:type="dxa"/>
            <w:tcBorders>
              <w:top w:val="nil"/>
              <w:left w:val="nil"/>
              <w:bottom w:val="single" w:sz="8" w:space="0" w:color="0070C0"/>
              <w:right w:val="nil"/>
            </w:tcBorders>
            <w:shd w:val="clear" w:color="auto" w:fill="auto"/>
            <w:noWrap/>
            <w:vAlign w:val="center"/>
            <w:hideMark/>
          </w:tcPr>
          <w:p w14:paraId="3A8A7F92" w14:textId="77777777" w:rsidR="00F86741" w:rsidRPr="007337C6" w:rsidRDefault="00F86741" w:rsidP="00F86741">
            <w:pPr>
              <w:spacing w:after="0" w:line="240" w:lineRule="auto"/>
              <w:jc w:val="right"/>
              <w:rPr>
                <w:rFonts w:ascii="Trebuchet MS" w:eastAsia="Times New Roman" w:hAnsi="Trebuchet MS" w:cs="Times New Roman"/>
                <w:color w:val="0070C0"/>
                <w:sz w:val="16"/>
                <w:szCs w:val="16"/>
                <w:lang w:eastAsia="en-GB"/>
              </w:rPr>
            </w:pPr>
            <w:r w:rsidRPr="007337C6">
              <w:rPr>
                <w:rFonts w:ascii="Trebuchet MS" w:eastAsia="Times New Roman" w:hAnsi="Trebuchet MS" w:cs="Times New Roman"/>
                <w:color w:val="0070C0"/>
                <w:sz w:val="16"/>
                <w:szCs w:val="16"/>
                <w:lang w:eastAsia="en-GB"/>
              </w:rPr>
              <w:t>EU</w:t>
            </w:r>
          </w:p>
        </w:tc>
        <w:tc>
          <w:tcPr>
            <w:tcW w:w="807" w:type="dxa"/>
            <w:tcBorders>
              <w:top w:val="nil"/>
              <w:left w:val="single" w:sz="8" w:space="0" w:color="0070C0"/>
              <w:bottom w:val="single" w:sz="8" w:space="0" w:color="0070C0"/>
              <w:right w:val="single" w:sz="8" w:space="0" w:color="0070C0"/>
            </w:tcBorders>
            <w:shd w:val="clear" w:color="auto" w:fill="auto"/>
            <w:noWrap/>
            <w:vAlign w:val="center"/>
            <w:hideMark/>
          </w:tcPr>
          <w:p w14:paraId="6E4CDB67" w14:textId="77777777" w:rsidR="00F86741" w:rsidRPr="007337C6" w:rsidRDefault="00F86741" w:rsidP="00F86741">
            <w:pPr>
              <w:spacing w:after="0" w:line="240" w:lineRule="auto"/>
              <w:jc w:val="right"/>
              <w:rPr>
                <w:rFonts w:ascii="Trebuchet MS" w:eastAsia="Times New Roman" w:hAnsi="Trebuchet MS" w:cs="Times New Roman"/>
                <w:color w:val="0070C0"/>
                <w:sz w:val="16"/>
                <w:szCs w:val="16"/>
                <w:lang w:eastAsia="en-GB"/>
              </w:rPr>
            </w:pPr>
            <w:r w:rsidRPr="007337C6">
              <w:rPr>
                <w:rFonts w:ascii="Trebuchet MS" w:eastAsia="Times New Roman" w:hAnsi="Trebuchet MS" w:cs="Times New Roman"/>
                <w:color w:val="0070C0"/>
                <w:sz w:val="16"/>
                <w:szCs w:val="16"/>
                <w:lang w:eastAsia="en-GB"/>
              </w:rPr>
              <w:t>Total</w:t>
            </w:r>
          </w:p>
        </w:tc>
        <w:tc>
          <w:tcPr>
            <w:tcW w:w="955" w:type="dxa"/>
            <w:tcBorders>
              <w:top w:val="nil"/>
              <w:left w:val="nil"/>
              <w:bottom w:val="nil"/>
              <w:right w:val="nil"/>
            </w:tcBorders>
            <w:shd w:val="clear" w:color="auto" w:fill="auto"/>
            <w:noWrap/>
            <w:vAlign w:val="bottom"/>
            <w:hideMark/>
          </w:tcPr>
          <w:p w14:paraId="1589F6AE" w14:textId="77777777" w:rsidR="00F86741" w:rsidRPr="007337C6" w:rsidRDefault="00F86741" w:rsidP="00F86741">
            <w:pPr>
              <w:spacing w:after="0" w:line="240" w:lineRule="auto"/>
              <w:jc w:val="right"/>
              <w:rPr>
                <w:rFonts w:ascii="Trebuchet MS" w:eastAsia="Times New Roman" w:hAnsi="Trebuchet MS" w:cs="Times New Roman"/>
                <w:color w:val="0070C0"/>
                <w:sz w:val="16"/>
                <w:szCs w:val="16"/>
                <w:lang w:eastAsia="en-GB"/>
              </w:rPr>
            </w:pPr>
          </w:p>
        </w:tc>
        <w:tc>
          <w:tcPr>
            <w:tcW w:w="922" w:type="dxa"/>
            <w:tcBorders>
              <w:top w:val="nil"/>
              <w:left w:val="nil"/>
              <w:bottom w:val="nil"/>
              <w:right w:val="nil"/>
            </w:tcBorders>
            <w:shd w:val="clear" w:color="auto" w:fill="auto"/>
            <w:noWrap/>
            <w:vAlign w:val="bottom"/>
            <w:hideMark/>
          </w:tcPr>
          <w:p w14:paraId="68C93937" w14:textId="77777777" w:rsidR="00F86741" w:rsidRPr="007337C6" w:rsidRDefault="00F86741" w:rsidP="00F86741">
            <w:pPr>
              <w:spacing w:after="0" w:line="240" w:lineRule="auto"/>
              <w:rPr>
                <w:rFonts w:ascii="Trebuchet MS" w:eastAsia="Times New Roman" w:hAnsi="Trebuchet MS" w:cs="Times New Roman"/>
                <w:sz w:val="16"/>
                <w:szCs w:val="16"/>
                <w:lang w:eastAsia="en-GB"/>
              </w:rPr>
            </w:pPr>
          </w:p>
        </w:tc>
        <w:tc>
          <w:tcPr>
            <w:tcW w:w="724" w:type="dxa"/>
            <w:tcBorders>
              <w:top w:val="nil"/>
              <w:left w:val="nil"/>
              <w:bottom w:val="nil"/>
              <w:right w:val="nil"/>
            </w:tcBorders>
            <w:shd w:val="clear" w:color="auto" w:fill="auto"/>
            <w:noWrap/>
            <w:vAlign w:val="bottom"/>
            <w:hideMark/>
          </w:tcPr>
          <w:p w14:paraId="0AA4E22D" w14:textId="77777777" w:rsidR="00F86741" w:rsidRPr="007337C6" w:rsidRDefault="00F86741" w:rsidP="00F86741">
            <w:pPr>
              <w:spacing w:after="0" w:line="240" w:lineRule="auto"/>
              <w:rPr>
                <w:rFonts w:ascii="Trebuchet MS" w:eastAsia="Times New Roman" w:hAnsi="Trebuchet MS" w:cs="Times New Roman"/>
                <w:sz w:val="16"/>
                <w:szCs w:val="16"/>
                <w:lang w:eastAsia="en-GB"/>
              </w:rPr>
            </w:pPr>
          </w:p>
        </w:tc>
        <w:tc>
          <w:tcPr>
            <w:tcW w:w="807" w:type="dxa"/>
            <w:tcBorders>
              <w:top w:val="nil"/>
              <w:left w:val="nil"/>
              <w:bottom w:val="nil"/>
              <w:right w:val="nil"/>
            </w:tcBorders>
            <w:shd w:val="clear" w:color="auto" w:fill="auto"/>
            <w:noWrap/>
            <w:vAlign w:val="bottom"/>
            <w:hideMark/>
          </w:tcPr>
          <w:p w14:paraId="7285A11A" w14:textId="77777777" w:rsidR="00F86741" w:rsidRPr="007337C6" w:rsidRDefault="00F86741" w:rsidP="00F86741">
            <w:pPr>
              <w:spacing w:after="0" w:line="240" w:lineRule="auto"/>
              <w:rPr>
                <w:rFonts w:ascii="Trebuchet MS" w:eastAsia="Times New Roman" w:hAnsi="Trebuchet MS" w:cs="Times New Roman"/>
                <w:sz w:val="16"/>
                <w:szCs w:val="16"/>
                <w:lang w:eastAsia="en-GB"/>
              </w:rPr>
            </w:pPr>
          </w:p>
        </w:tc>
      </w:tr>
      <w:tr w:rsidR="00F86741" w:rsidRPr="007337C6" w14:paraId="258E8F92" w14:textId="77777777" w:rsidTr="001E2B2B">
        <w:trPr>
          <w:trHeight w:val="276"/>
        </w:trPr>
        <w:tc>
          <w:tcPr>
            <w:tcW w:w="1485" w:type="dxa"/>
            <w:tcBorders>
              <w:top w:val="single" w:sz="8" w:space="0" w:color="0070C0"/>
              <w:left w:val="single" w:sz="8" w:space="0" w:color="0070C0"/>
              <w:bottom w:val="single" w:sz="8" w:space="0" w:color="0070C0"/>
              <w:right w:val="single" w:sz="8" w:space="0" w:color="0070C0"/>
            </w:tcBorders>
            <w:shd w:val="clear" w:color="auto" w:fill="auto"/>
            <w:noWrap/>
            <w:vAlign w:val="center"/>
            <w:hideMark/>
          </w:tcPr>
          <w:p w14:paraId="207495A4" w14:textId="77777777" w:rsidR="00F86741" w:rsidRPr="007337C6" w:rsidRDefault="00F86741" w:rsidP="00F86741">
            <w:pPr>
              <w:spacing w:after="0" w:line="240" w:lineRule="auto"/>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Claims Provision</w:t>
            </w:r>
          </w:p>
        </w:tc>
        <w:tc>
          <w:tcPr>
            <w:tcW w:w="730" w:type="dxa"/>
            <w:tcBorders>
              <w:top w:val="nil"/>
              <w:left w:val="nil"/>
              <w:bottom w:val="single" w:sz="8" w:space="0" w:color="0070C0"/>
              <w:right w:val="nil"/>
            </w:tcBorders>
            <w:shd w:val="clear" w:color="auto" w:fill="auto"/>
            <w:noWrap/>
            <w:vAlign w:val="bottom"/>
            <w:hideMark/>
          </w:tcPr>
          <w:p w14:paraId="339D880D"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4,927</w:t>
            </w:r>
          </w:p>
        </w:tc>
        <w:tc>
          <w:tcPr>
            <w:tcW w:w="955" w:type="dxa"/>
            <w:tcBorders>
              <w:top w:val="nil"/>
              <w:left w:val="nil"/>
              <w:bottom w:val="single" w:sz="8" w:space="0" w:color="0070C0"/>
              <w:right w:val="nil"/>
            </w:tcBorders>
            <w:shd w:val="clear" w:color="auto" w:fill="auto"/>
            <w:noWrap/>
            <w:vAlign w:val="bottom"/>
            <w:hideMark/>
          </w:tcPr>
          <w:p w14:paraId="3D791B89"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9,098</w:t>
            </w:r>
          </w:p>
        </w:tc>
        <w:tc>
          <w:tcPr>
            <w:tcW w:w="922" w:type="dxa"/>
            <w:tcBorders>
              <w:top w:val="nil"/>
              <w:left w:val="single" w:sz="8" w:space="0" w:color="0070C0"/>
              <w:bottom w:val="single" w:sz="8" w:space="0" w:color="0070C0"/>
              <w:right w:val="single" w:sz="8" w:space="0" w:color="0070C0"/>
            </w:tcBorders>
            <w:shd w:val="clear" w:color="auto" w:fill="auto"/>
            <w:noWrap/>
            <w:vAlign w:val="bottom"/>
            <w:hideMark/>
          </w:tcPr>
          <w:p w14:paraId="6A22352D"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14,025</w:t>
            </w:r>
          </w:p>
        </w:tc>
        <w:tc>
          <w:tcPr>
            <w:tcW w:w="807" w:type="dxa"/>
            <w:tcBorders>
              <w:top w:val="nil"/>
              <w:left w:val="nil"/>
              <w:bottom w:val="single" w:sz="8" w:space="0" w:color="0070C0"/>
              <w:right w:val="nil"/>
            </w:tcBorders>
            <w:shd w:val="clear" w:color="auto" w:fill="auto"/>
            <w:noWrap/>
            <w:vAlign w:val="bottom"/>
            <w:hideMark/>
          </w:tcPr>
          <w:p w14:paraId="3D5EFA75"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4,927</w:t>
            </w:r>
          </w:p>
        </w:tc>
        <w:tc>
          <w:tcPr>
            <w:tcW w:w="807" w:type="dxa"/>
            <w:tcBorders>
              <w:top w:val="nil"/>
              <w:left w:val="nil"/>
              <w:bottom w:val="single" w:sz="8" w:space="0" w:color="0070C0"/>
              <w:right w:val="nil"/>
            </w:tcBorders>
            <w:shd w:val="clear" w:color="auto" w:fill="auto"/>
            <w:noWrap/>
            <w:vAlign w:val="bottom"/>
            <w:hideMark/>
          </w:tcPr>
          <w:p w14:paraId="7FBB1EAF"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0</w:t>
            </w:r>
          </w:p>
        </w:tc>
        <w:tc>
          <w:tcPr>
            <w:tcW w:w="807" w:type="dxa"/>
            <w:tcBorders>
              <w:top w:val="nil"/>
              <w:left w:val="single" w:sz="8" w:space="0" w:color="0070C0"/>
              <w:bottom w:val="single" w:sz="8" w:space="0" w:color="0070C0"/>
              <w:right w:val="single" w:sz="8" w:space="0" w:color="0070C0"/>
            </w:tcBorders>
            <w:shd w:val="clear" w:color="auto" w:fill="auto"/>
            <w:noWrap/>
            <w:vAlign w:val="bottom"/>
            <w:hideMark/>
          </w:tcPr>
          <w:p w14:paraId="48952B04"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4,927</w:t>
            </w:r>
          </w:p>
        </w:tc>
        <w:tc>
          <w:tcPr>
            <w:tcW w:w="955" w:type="dxa"/>
            <w:tcBorders>
              <w:top w:val="nil"/>
              <w:left w:val="nil"/>
              <w:bottom w:val="nil"/>
              <w:right w:val="nil"/>
            </w:tcBorders>
            <w:shd w:val="clear" w:color="auto" w:fill="auto"/>
            <w:noWrap/>
            <w:vAlign w:val="bottom"/>
            <w:hideMark/>
          </w:tcPr>
          <w:p w14:paraId="1DA013A5" w14:textId="77777777" w:rsidR="00F86741" w:rsidRPr="007337C6" w:rsidRDefault="00F86741" w:rsidP="00F86741">
            <w:pPr>
              <w:spacing w:after="0" w:line="240" w:lineRule="auto"/>
              <w:jc w:val="right"/>
              <w:rPr>
                <w:rFonts w:ascii="Trebuchet MS" w:eastAsia="Times New Roman" w:hAnsi="Trebuchet MS" w:cs="Times New Roman"/>
                <w:color w:val="000000"/>
                <w:sz w:val="16"/>
                <w:szCs w:val="16"/>
                <w:lang w:eastAsia="en-GB"/>
              </w:rPr>
            </w:pPr>
          </w:p>
        </w:tc>
        <w:tc>
          <w:tcPr>
            <w:tcW w:w="922" w:type="dxa"/>
            <w:tcBorders>
              <w:top w:val="nil"/>
              <w:left w:val="nil"/>
              <w:bottom w:val="nil"/>
              <w:right w:val="nil"/>
            </w:tcBorders>
            <w:shd w:val="clear" w:color="auto" w:fill="auto"/>
            <w:noWrap/>
            <w:vAlign w:val="bottom"/>
            <w:hideMark/>
          </w:tcPr>
          <w:p w14:paraId="211E5698" w14:textId="77777777" w:rsidR="00F86741" w:rsidRPr="007337C6" w:rsidRDefault="00F86741" w:rsidP="00F86741">
            <w:pPr>
              <w:spacing w:after="0" w:line="240" w:lineRule="auto"/>
              <w:rPr>
                <w:rFonts w:ascii="Trebuchet MS" w:eastAsia="Times New Roman" w:hAnsi="Trebuchet MS" w:cs="Times New Roman"/>
                <w:sz w:val="16"/>
                <w:szCs w:val="16"/>
                <w:lang w:eastAsia="en-GB"/>
              </w:rPr>
            </w:pPr>
          </w:p>
        </w:tc>
        <w:tc>
          <w:tcPr>
            <w:tcW w:w="724" w:type="dxa"/>
            <w:tcBorders>
              <w:top w:val="nil"/>
              <w:left w:val="nil"/>
              <w:bottom w:val="nil"/>
              <w:right w:val="nil"/>
            </w:tcBorders>
            <w:shd w:val="clear" w:color="auto" w:fill="auto"/>
            <w:noWrap/>
            <w:vAlign w:val="bottom"/>
            <w:hideMark/>
          </w:tcPr>
          <w:p w14:paraId="23ECBACB" w14:textId="77777777" w:rsidR="00F86741" w:rsidRPr="007337C6" w:rsidRDefault="00F86741" w:rsidP="00F86741">
            <w:pPr>
              <w:spacing w:after="0" w:line="240" w:lineRule="auto"/>
              <w:rPr>
                <w:rFonts w:ascii="Trebuchet MS" w:eastAsia="Times New Roman" w:hAnsi="Trebuchet MS" w:cs="Times New Roman"/>
                <w:sz w:val="16"/>
                <w:szCs w:val="16"/>
                <w:lang w:eastAsia="en-GB"/>
              </w:rPr>
            </w:pPr>
          </w:p>
        </w:tc>
        <w:tc>
          <w:tcPr>
            <w:tcW w:w="807" w:type="dxa"/>
            <w:tcBorders>
              <w:top w:val="nil"/>
              <w:left w:val="nil"/>
              <w:bottom w:val="nil"/>
              <w:right w:val="nil"/>
            </w:tcBorders>
            <w:shd w:val="clear" w:color="auto" w:fill="auto"/>
            <w:noWrap/>
            <w:vAlign w:val="bottom"/>
            <w:hideMark/>
          </w:tcPr>
          <w:p w14:paraId="4BC6D2B7" w14:textId="77777777" w:rsidR="00F86741" w:rsidRPr="007337C6" w:rsidRDefault="00F86741" w:rsidP="00F86741">
            <w:pPr>
              <w:spacing w:after="0" w:line="240" w:lineRule="auto"/>
              <w:rPr>
                <w:rFonts w:ascii="Trebuchet MS" w:eastAsia="Times New Roman" w:hAnsi="Trebuchet MS" w:cs="Times New Roman"/>
                <w:sz w:val="16"/>
                <w:szCs w:val="16"/>
                <w:lang w:eastAsia="en-GB"/>
              </w:rPr>
            </w:pPr>
          </w:p>
        </w:tc>
      </w:tr>
      <w:tr w:rsidR="00F86741" w:rsidRPr="007337C6" w14:paraId="4194F3FB" w14:textId="77777777" w:rsidTr="001E2B2B">
        <w:trPr>
          <w:trHeight w:val="276"/>
        </w:trPr>
        <w:tc>
          <w:tcPr>
            <w:tcW w:w="1485" w:type="dxa"/>
            <w:tcBorders>
              <w:top w:val="nil"/>
              <w:left w:val="single" w:sz="8" w:space="0" w:color="0070C0"/>
              <w:bottom w:val="single" w:sz="8" w:space="0" w:color="0070C0"/>
              <w:right w:val="single" w:sz="8" w:space="0" w:color="0070C0"/>
            </w:tcBorders>
            <w:shd w:val="clear" w:color="auto" w:fill="auto"/>
            <w:noWrap/>
            <w:vAlign w:val="center"/>
            <w:hideMark/>
          </w:tcPr>
          <w:p w14:paraId="6926ACC1" w14:textId="77777777" w:rsidR="00F86741" w:rsidRPr="007337C6" w:rsidRDefault="00F86741" w:rsidP="00F86741">
            <w:pPr>
              <w:spacing w:after="0" w:line="240" w:lineRule="auto"/>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Premium Provision</w:t>
            </w:r>
          </w:p>
        </w:tc>
        <w:tc>
          <w:tcPr>
            <w:tcW w:w="730" w:type="dxa"/>
            <w:tcBorders>
              <w:top w:val="nil"/>
              <w:left w:val="nil"/>
              <w:bottom w:val="single" w:sz="8" w:space="0" w:color="0070C0"/>
              <w:right w:val="nil"/>
            </w:tcBorders>
            <w:shd w:val="clear" w:color="auto" w:fill="auto"/>
            <w:noWrap/>
            <w:vAlign w:val="bottom"/>
            <w:hideMark/>
          </w:tcPr>
          <w:p w14:paraId="0BBE445B"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FF0000"/>
                <w:sz w:val="16"/>
                <w:szCs w:val="16"/>
                <w:lang w:eastAsia="en-GB"/>
              </w:rPr>
              <w:t>(10,638)</w:t>
            </w:r>
          </w:p>
        </w:tc>
        <w:tc>
          <w:tcPr>
            <w:tcW w:w="955" w:type="dxa"/>
            <w:tcBorders>
              <w:top w:val="nil"/>
              <w:left w:val="nil"/>
              <w:bottom w:val="single" w:sz="8" w:space="0" w:color="0070C0"/>
              <w:right w:val="nil"/>
            </w:tcBorders>
            <w:shd w:val="clear" w:color="auto" w:fill="auto"/>
            <w:noWrap/>
            <w:vAlign w:val="bottom"/>
            <w:hideMark/>
          </w:tcPr>
          <w:p w14:paraId="1D50FB2D"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13,047</w:t>
            </w:r>
          </w:p>
        </w:tc>
        <w:tc>
          <w:tcPr>
            <w:tcW w:w="922" w:type="dxa"/>
            <w:tcBorders>
              <w:top w:val="nil"/>
              <w:left w:val="single" w:sz="8" w:space="0" w:color="0070C0"/>
              <w:bottom w:val="single" w:sz="8" w:space="0" w:color="0070C0"/>
              <w:right w:val="single" w:sz="8" w:space="0" w:color="0070C0"/>
            </w:tcBorders>
            <w:shd w:val="clear" w:color="auto" w:fill="auto"/>
            <w:noWrap/>
            <w:vAlign w:val="bottom"/>
            <w:hideMark/>
          </w:tcPr>
          <w:p w14:paraId="46C0B5F4"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2,409</w:t>
            </w:r>
          </w:p>
        </w:tc>
        <w:tc>
          <w:tcPr>
            <w:tcW w:w="807" w:type="dxa"/>
            <w:tcBorders>
              <w:top w:val="nil"/>
              <w:left w:val="nil"/>
              <w:bottom w:val="single" w:sz="8" w:space="0" w:color="0070C0"/>
              <w:right w:val="nil"/>
            </w:tcBorders>
            <w:shd w:val="clear" w:color="auto" w:fill="auto"/>
            <w:noWrap/>
            <w:vAlign w:val="bottom"/>
            <w:hideMark/>
          </w:tcPr>
          <w:p w14:paraId="6A112BDA"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FF0000"/>
                <w:sz w:val="16"/>
                <w:szCs w:val="16"/>
                <w:lang w:eastAsia="en-GB"/>
              </w:rPr>
              <w:t>(10,638)</w:t>
            </w:r>
          </w:p>
        </w:tc>
        <w:tc>
          <w:tcPr>
            <w:tcW w:w="807" w:type="dxa"/>
            <w:tcBorders>
              <w:top w:val="nil"/>
              <w:left w:val="nil"/>
              <w:bottom w:val="single" w:sz="8" w:space="0" w:color="0070C0"/>
              <w:right w:val="nil"/>
            </w:tcBorders>
            <w:shd w:val="clear" w:color="auto" w:fill="auto"/>
            <w:noWrap/>
            <w:vAlign w:val="bottom"/>
            <w:hideMark/>
          </w:tcPr>
          <w:p w14:paraId="2FCC3EB6"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0</w:t>
            </w:r>
          </w:p>
        </w:tc>
        <w:tc>
          <w:tcPr>
            <w:tcW w:w="807" w:type="dxa"/>
            <w:tcBorders>
              <w:top w:val="nil"/>
              <w:left w:val="single" w:sz="8" w:space="0" w:color="0070C0"/>
              <w:bottom w:val="single" w:sz="8" w:space="0" w:color="0070C0"/>
              <w:right w:val="single" w:sz="8" w:space="0" w:color="0070C0"/>
            </w:tcBorders>
            <w:shd w:val="clear" w:color="auto" w:fill="auto"/>
            <w:noWrap/>
            <w:vAlign w:val="bottom"/>
            <w:hideMark/>
          </w:tcPr>
          <w:p w14:paraId="498E90E7"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FF0000"/>
                <w:sz w:val="16"/>
                <w:szCs w:val="16"/>
                <w:lang w:eastAsia="en-GB"/>
              </w:rPr>
              <w:t>(10,638)</w:t>
            </w:r>
          </w:p>
        </w:tc>
        <w:tc>
          <w:tcPr>
            <w:tcW w:w="955" w:type="dxa"/>
            <w:tcBorders>
              <w:top w:val="nil"/>
              <w:left w:val="nil"/>
              <w:bottom w:val="nil"/>
              <w:right w:val="nil"/>
            </w:tcBorders>
            <w:shd w:val="clear" w:color="auto" w:fill="auto"/>
            <w:noWrap/>
            <w:vAlign w:val="bottom"/>
            <w:hideMark/>
          </w:tcPr>
          <w:p w14:paraId="7D59BE03" w14:textId="77777777" w:rsidR="00F86741" w:rsidRPr="007337C6" w:rsidRDefault="00F86741" w:rsidP="00F86741">
            <w:pPr>
              <w:spacing w:after="0" w:line="240" w:lineRule="auto"/>
              <w:jc w:val="right"/>
              <w:rPr>
                <w:rFonts w:ascii="Trebuchet MS" w:eastAsia="Times New Roman" w:hAnsi="Trebuchet MS" w:cs="Times New Roman"/>
                <w:color w:val="000000"/>
                <w:sz w:val="16"/>
                <w:szCs w:val="16"/>
                <w:lang w:eastAsia="en-GB"/>
              </w:rPr>
            </w:pPr>
          </w:p>
        </w:tc>
        <w:tc>
          <w:tcPr>
            <w:tcW w:w="922" w:type="dxa"/>
            <w:tcBorders>
              <w:top w:val="nil"/>
              <w:left w:val="nil"/>
              <w:bottom w:val="nil"/>
              <w:right w:val="nil"/>
            </w:tcBorders>
            <w:shd w:val="clear" w:color="auto" w:fill="auto"/>
            <w:noWrap/>
            <w:vAlign w:val="bottom"/>
            <w:hideMark/>
          </w:tcPr>
          <w:p w14:paraId="76DB7FF5" w14:textId="77777777" w:rsidR="00F86741" w:rsidRPr="007337C6" w:rsidRDefault="00F86741" w:rsidP="00F86741">
            <w:pPr>
              <w:spacing w:after="0" w:line="240" w:lineRule="auto"/>
              <w:rPr>
                <w:rFonts w:ascii="Trebuchet MS" w:eastAsia="Times New Roman" w:hAnsi="Trebuchet MS" w:cs="Times New Roman"/>
                <w:sz w:val="16"/>
                <w:szCs w:val="16"/>
                <w:lang w:eastAsia="en-GB"/>
              </w:rPr>
            </w:pPr>
          </w:p>
        </w:tc>
        <w:tc>
          <w:tcPr>
            <w:tcW w:w="724" w:type="dxa"/>
            <w:tcBorders>
              <w:top w:val="nil"/>
              <w:left w:val="nil"/>
              <w:bottom w:val="nil"/>
              <w:right w:val="nil"/>
            </w:tcBorders>
            <w:shd w:val="clear" w:color="auto" w:fill="auto"/>
            <w:noWrap/>
            <w:vAlign w:val="bottom"/>
            <w:hideMark/>
          </w:tcPr>
          <w:p w14:paraId="5DC8D868" w14:textId="77777777" w:rsidR="00F86741" w:rsidRPr="007337C6" w:rsidRDefault="00F86741" w:rsidP="00F86741">
            <w:pPr>
              <w:spacing w:after="0" w:line="240" w:lineRule="auto"/>
              <w:rPr>
                <w:rFonts w:ascii="Trebuchet MS" w:eastAsia="Times New Roman" w:hAnsi="Trebuchet MS" w:cs="Times New Roman"/>
                <w:sz w:val="16"/>
                <w:szCs w:val="16"/>
                <w:lang w:eastAsia="en-GB"/>
              </w:rPr>
            </w:pPr>
          </w:p>
        </w:tc>
        <w:tc>
          <w:tcPr>
            <w:tcW w:w="807" w:type="dxa"/>
            <w:tcBorders>
              <w:top w:val="nil"/>
              <w:left w:val="nil"/>
              <w:bottom w:val="nil"/>
              <w:right w:val="nil"/>
            </w:tcBorders>
            <w:shd w:val="clear" w:color="auto" w:fill="auto"/>
            <w:noWrap/>
            <w:vAlign w:val="bottom"/>
            <w:hideMark/>
          </w:tcPr>
          <w:p w14:paraId="7D22F81A" w14:textId="77777777" w:rsidR="00F86741" w:rsidRPr="007337C6" w:rsidRDefault="00F86741" w:rsidP="00F86741">
            <w:pPr>
              <w:spacing w:after="0" w:line="240" w:lineRule="auto"/>
              <w:rPr>
                <w:rFonts w:ascii="Trebuchet MS" w:eastAsia="Times New Roman" w:hAnsi="Trebuchet MS" w:cs="Times New Roman"/>
                <w:sz w:val="16"/>
                <w:szCs w:val="16"/>
                <w:lang w:eastAsia="en-GB"/>
              </w:rPr>
            </w:pPr>
          </w:p>
        </w:tc>
      </w:tr>
      <w:tr w:rsidR="00F86741" w:rsidRPr="007337C6" w14:paraId="536338A3" w14:textId="77777777" w:rsidTr="001E2B2B">
        <w:trPr>
          <w:trHeight w:val="276"/>
        </w:trPr>
        <w:tc>
          <w:tcPr>
            <w:tcW w:w="1485" w:type="dxa"/>
            <w:tcBorders>
              <w:top w:val="nil"/>
              <w:left w:val="single" w:sz="8" w:space="0" w:color="0070C0"/>
              <w:bottom w:val="single" w:sz="8" w:space="0" w:color="0070C0"/>
              <w:right w:val="single" w:sz="8" w:space="0" w:color="0070C0"/>
            </w:tcBorders>
            <w:shd w:val="clear" w:color="auto" w:fill="auto"/>
            <w:noWrap/>
            <w:vAlign w:val="center"/>
            <w:hideMark/>
          </w:tcPr>
          <w:p w14:paraId="0A60CBD0" w14:textId="77777777" w:rsidR="00F86741" w:rsidRPr="007337C6" w:rsidRDefault="00F86741" w:rsidP="00F86741">
            <w:pPr>
              <w:spacing w:after="0" w:line="240" w:lineRule="auto"/>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Total</w:t>
            </w:r>
          </w:p>
        </w:tc>
        <w:tc>
          <w:tcPr>
            <w:tcW w:w="730" w:type="dxa"/>
            <w:tcBorders>
              <w:top w:val="nil"/>
              <w:left w:val="nil"/>
              <w:bottom w:val="single" w:sz="8" w:space="0" w:color="0070C0"/>
              <w:right w:val="nil"/>
            </w:tcBorders>
            <w:shd w:val="clear" w:color="auto" w:fill="auto"/>
            <w:noWrap/>
            <w:vAlign w:val="bottom"/>
            <w:hideMark/>
          </w:tcPr>
          <w:p w14:paraId="3E77A60E"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FF0000"/>
                <w:sz w:val="16"/>
                <w:szCs w:val="16"/>
                <w:lang w:eastAsia="en-GB"/>
              </w:rPr>
              <w:t>(5,712)</w:t>
            </w:r>
          </w:p>
        </w:tc>
        <w:tc>
          <w:tcPr>
            <w:tcW w:w="955" w:type="dxa"/>
            <w:tcBorders>
              <w:top w:val="nil"/>
              <w:left w:val="nil"/>
              <w:bottom w:val="single" w:sz="8" w:space="0" w:color="0070C0"/>
              <w:right w:val="nil"/>
            </w:tcBorders>
            <w:shd w:val="clear" w:color="auto" w:fill="auto"/>
            <w:noWrap/>
            <w:vAlign w:val="bottom"/>
            <w:hideMark/>
          </w:tcPr>
          <w:p w14:paraId="0F2A4978"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22,145</w:t>
            </w:r>
          </w:p>
        </w:tc>
        <w:tc>
          <w:tcPr>
            <w:tcW w:w="922" w:type="dxa"/>
            <w:tcBorders>
              <w:top w:val="nil"/>
              <w:left w:val="single" w:sz="8" w:space="0" w:color="0070C0"/>
              <w:bottom w:val="single" w:sz="8" w:space="0" w:color="0070C0"/>
              <w:right w:val="single" w:sz="8" w:space="0" w:color="0070C0"/>
            </w:tcBorders>
            <w:shd w:val="clear" w:color="auto" w:fill="auto"/>
            <w:noWrap/>
            <w:vAlign w:val="bottom"/>
            <w:hideMark/>
          </w:tcPr>
          <w:p w14:paraId="64514706"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16,433</w:t>
            </w:r>
          </w:p>
        </w:tc>
        <w:tc>
          <w:tcPr>
            <w:tcW w:w="807" w:type="dxa"/>
            <w:tcBorders>
              <w:top w:val="nil"/>
              <w:left w:val="nil"/>
              <w:bottom w:val="single" w:sz="8" w:space="0" w:color="0070C0"/>
              <w:right w:val="nil"/>
            </w:tcBorders>
            <w:shd w:val="clear" w:color="auto" w:fill="auto"/>
            <w:noWrap/>
            <w:vAlign w:val="bottom"/>
            <w:hideMark/>
          </w:tcPr>
          <w:p w14:paraId="1D1EA77E"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FF0000"/>
                <w:sz w:val="16"/>
                <w:szCs w:val="16"/>
                <w:lang w:eastAsia="en-GB"/>
              </w:rPr>
              <w:t>(5,712)</w:t>
            </w:r>
          </w:p>
        </w:tc>
        <w:tc>
          <w:tcPr>
            <w:tcW w:w="807" w:type="dxa"/>
            <w:tcBorders>
              <w:top w:val="nil"/>
              <w:left w:val="nil"/>
              <w:bottom w:val="single" w:sz="8" w:space="0" w:color="0070C0"/>
              <w:right w:val="nil"/>
            </w:tcBorders>
            <w:shd w:val="clear" w:color="auto" w:fill="auto"/>
            <w:noWrap/>
            <w:vAlign w:val="bottom"/>
            <w:hideMark/>
          </w:tcPr>
          <w:p w14:paraId="3C0C5F58"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0</w:t>
            </w:r>
          </w:p>
        </w:tc>
        <w:tc>
          <w:tcPr>
            <w:tcW w:w="807" w:type="dxa"/>
            <w:tcBorders>
              <w:top w:val="nil"/>
              <w:left w:val="single" w:sz="8" w:space="0" w:color="0070C0"/>
              <w:bottom w:val="single" w:sz="8" w:space="0" w:color="0070C0"/>
              <w:right w:val="single" w:sz="8" w:space="0" w:color="0070C0"/>
            </w:tcBorders>
            <w:shd w:val="clear" w:color="auto" w:fill="auto"/>
            <w:noWrap/>
            <w:vAlign w:val="bottom"/>
            <w:hideMark/>
          </w:tcPr>
          <w:p w14:paraId="41B29340"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FF0000"/>
                <w:sz w:val="16"/>
                <w:szCs w:val="16"/>
                <w:lang w:eastAsia="en-GB"/>
              </w:rPr>
              <w:t>(5,712)</w:t>
            </w:r>
          </w:p>
        </w:tc>
        <w:tc>
          <w:tcPr>
            <w:tcW w:w="955" w:type="dxa"/>
            <w:tcBorders>
              <w:top w:val="nil"/>
              <w:left w:val="nil"/>
              <w:bottom w:val="nil"/>
              <w:right w:val="nil"/>
            </w:tcBorders>
            <w:shd w:val="clear" w:color="auto" w:fill="auto"/>
            <w:noWrap/>
            <w:vAlign w:val="bottom"/>
            <w:hideMark/>
          </w:tcPr>
          <w:p w14:paraId="7AC7E7BF" w14:textId="77777777" w:rsidR="00F86741" w:rsidRPr="007337C6" w:rsidRDefault="00F86741" w:rsidP="00F86741">
            <w:pPr>
              <w:spacing w:after="0" w:line="240" w:lineRule="auto"/>
              <w:jc w:val="right"/>
              <w:rPr>
                <w:rFonts w:ascii="Trebuchet MS" w:eastAsia="Times New Roman" w:hAnsi="Trebuchet MS" w:cs="Times New Roman"/>
                <w:color w:val="000000"/>
                <w:sz w:val="16"/>
                <w:szCs w:val="16"/>
                <w:lang w:eastAsia="en-GB"/>
              </w:rPr>
            </w:pPr>
          </w:p>
        </w:tc>
        <w:tc>
          <w:tcPr>
            <w:tcW w:w="922" w:type="dxa"/>
            <w:tcBorders>
              <w:top w:val="nil"/>
              <w:left w:val="nil"/>
              <w:bottom w:val="nil"/>
              <w:right w:val="nil"/>
            </w:tcBorders>
            <w:shd w:val="clear" w:color="auto" w:fill="auto"/>
            <w:noWrap/>
            <w:vAlign w:val="bottom"/>
            <w:hideMark/>
          </w:tcPr>
          <w:p w14:paraId="621280FF" w14:textId="77777777" w:rsidR="00F86741" w:rsidRPr="007337C6" w:rsidRDefault="00F86741" w:rsidP="00F86741">
            <w:pPr>
              <w:spacing w:after="0" w:line="240" w:lineRule="auto"/>
              <w:rPr>
                <w:rFonts w:ascii="Trebuchet MS" w:eastAsia="Times New Roman" w:hAnsi="Trebuchet MS" w:cs="Times New Roman"/>
                <w:sz w:val="16"/>
                <w:szCs w:val="16"/>
                <w:lang w:eastAsia="en-GB"/>
              </w:rPr>
            </w:pPr>
          </w:p>
        </w:tc>
        <w:tc>
          <w:tcPr>
            <w:tcW w:w="724" w:type="dxa"/>
            <w:tcBorders>
              <w:top w:val="nil"/>
              <w:left w:val="nil"/>
              <w:bottom w:val="nil"/>
              <w:right w:val="nil"/>
            </w:tcBorders>
            <w:shd w:val="clear" w:color="auto" w:fill="auto"/>
            <w:noWrap/>
            <w:vAlign w:val="bottom"/>
            <w:hideMark/>
          </w:tcPr>
          <w:p w14:paraId="7AEBA527" w14:textId="77777777" w:rsidR="00F86741" w:rsidRPr="007337C6" w:rsidRDefault="00F86741" w:rsidP="00F86741">
            <w:pPr>
              <w:spacing w:after="0" w:line="240" w:lineRule="auto"/>
              <w:rPr>
                <w:rFonts w:ascii="Trebuchet MS" w:eastAsia="Times New Roman" w:hAnsi="Trebuchet MS" w:cs="Times New Roman"/>
                <w:sz w:val="16"/>
                <w:szCs w:val="16"/>
                <w:lang w:eastAsia="en-GB"/>
              </w:rPr>
            </w:pPr>
          </w:p>
        </w:tc>
        <w:tc>
          <w:tcPr>
            <w:tcW w:w="807" w:type="dxa"/>
            <w:tcBorders>
              <w:top w:val="nil"/>
              <w:left w:val="nil"/>
              <w:bottom w:val="nil"/>
              <w:right w:val="nil"/>
            </w:tcBorders>
            <w:shd w:val="clear" w:color="auto" w:fill="auto"/>
            <w:noWrap/>
            <w:vAlign w:val="bottom"/>
            <w:hideMark/>
          </w:tcPr>
          <w:p w14:paraId="3D2BC64C" w14:textId="77777777" w:rsidR="00F86741" w:rsidRPr="007337C6" w:rsidRDefault="00F86741" w:rsidP="00F86741">
            <w:pPr>
              <w:spacing w:after="0" w:line="240" w:lineRule="auto"/>
              <w:rPr>
                <w:rFonts w:ascii="Trebuchet MS" w:eastAsia="Times New Roman" w:hAnsi="Trebuchet MS" w:cs="Times New Roman"/>
                <w:sz w:val="16"/>
                <w:szCs w:val="16"/>
                <w:lang w:eastAsia="en-GB"/>
              </w:rPr>
            </w:pPr>
          </w:p>
        </w:tc>
      </w:tr>
      <w:tr w:rsidR="00F86741" w:rsidRPr="007337C6" w14:paraId="077DE597" w14:textId="77777777" w:rsidTr="00F86741">
        <w:trPr>
          <w:trHeight w:val="138"/>
        </w:trPr>
        <w:tc>
          <w:tcPr>
            <w:tcW w:w="1485" w:type="dxa"/>
            <w:tcBorders>
              <w:top w:val="nil"/>
              <w:left w:val="nil"/>
              <w:bottom w:val="nil"/>
              <w:right w:val="nil"/>
            </w:tcBorders>
            <w:shd w:val="clear" w:color="auto" w:fill="auto"/>
            <w:noWrap/>
            <w:vAlign w:val="center"/>
            <w:hideMark/>
          </w:tcPr>
          <w:p w14:paraId="208095B1" w14:textId="77777777" w:rsidR="00F86741" w:rsidRPr="007337C6" w:rsidRDefault="00F86741" w:rsidP="00F86741">
            <w:pPr>
              <w:spacing w:after="0" w:line="240" w:lineRule="auto"/>
              <w:rPr>
                <w:rFonts w:ascii="Trebuchet MS" w:eastAsia="Times New Roman" w:hAnsi="Trebuchet MS" w:cs="Times New Roman"/>
                <w:sz w:val="16"/>
                <w:szCs w:val="16"/>
                <w:lang w:eastAsia="en-GB"/>
              </w:rPr>
            </w:pPr>
          </w:p>
        </w:tc>
        <w:tc>
          <w:tcPr>
            <w:tcW w:w="730" w:type="dxa"/>
            <w:tcBorders>
              <w:top w:val="nil"/>
              <w:left w:val="nil"/>
              <w:bottom w:val="nil"/>
              <w:right w:val="nil"/>
            </w:tcBorders>
            <w:shd w:val="clear" w:color="auto" w:fill="auto"/>
            <w:noWrap/>
            <w:vAlign w:val="center"/>
            <w:hideMark/>
          </w:tcPr>
          <w:p w14:paraId="7FFB5DEC" w14:textId="77777777" w:rsidR="00F86741" w:rsidRPr="007337C6" w:rsidRDefault="00F86741" w:rsidP="00F86741">
            <w:pPr>
              <w:spacing w:after="0" w:line="240" w:lineRule="auto"/>
              <w:rPr>
                <w:rFonts w:ascii="Trebuchet MS" w:eastAsia="Times New Roman" w:hAnsi="Trebuchet MS" w:cs="Times New Roman"/>
                <w:sz w:val="16"/>
                <w:szCs w:val="16"/>
                <w:lang w:eastAsia="en-GB"/>
              </w:rPr>
            </w:pPr>
          </w:p>
        </w:tc>
        <w:tc>
          <w:tcPr>
            <w:tcW w:w="955" w:type="dxa"/>
            <w:tcBorders>
              <w:top w:val="nil"/>
              <w:left w:val="nil"/>
              <w:bottom w:val="nil"/>
              <w:right w:val="nil"/>
            </w:tcBorders>
            <w:shd w:val="clear" w:color="auto" w:fill="auto"/>
            <w:noWrap/>
            <w:vAlign w:val="center"/>
            <w:hideMark/>
          </w:tcPr>
          <w:p w14:paraId="694F1088" w14:textId="77777777" w:rsidR="00F86741" w:rsidRPr="007337C6" w:rsidRDefault="00F86741" w:rsidP="00F86741">
            <w:pPr>
              <w:spacing w:after="0" w:line="240" w:lineRule="auto"/>
              <w:rPr>
                <w:rFonts w:ascii="Trebuchet MS" w:eastAsia="Times New Roman" w:hAnsi="Trebuchet MS" w:cs="Times New Roman"/>
                <w:sz w:val="16"/>
                <w:szCs w:val="16"/>
                <w:lang w:eastAsia="en-GB"/>
              </w:rPr>
            </w:pPr>
          </w:p>
        </w:tc>
        <w:tc>
          <w:tcPr>
            <w:tcW w:w="922" w:type="dxa"/>
            <w:tcBorders>
              <w:top w:val="nil"/>
              <w:left w:val="nil"/>
              <w:bottom w:val="nil"/>
              <w:right w:val="nil"/>
            </w:tcBorders>
            <w:shd w:val="clear" w:color="auto" w:fill="auto"/>
            <w:noWrap/>
            <w:vAlign w:val="center"/>
            <w:hideMark/>
          </w:tcPr>
          <w:p w14:paraId="193A1D88" w14:textId="77777777" w:rsidR="00F86741" w:rsidRPr="007337C6" w:rsidRDefault="00F86741" w:rsidP="00F86741">
            <w:pPr>
              <w:spacing w:after="0" w:line="240" w:lineRule="auto"/>
              <w:rPr>
                <w:rFonts w:ascii="Trebuchet MS" w:eastAsia="Times New Roman" w:hAnsi="Trebuchet MS" w:cs="Times New Roman"/>
                <w:sz w:val="16"/>
                <w:szCs w:val="16"/>
                <w:lang w:eastAsia="en-GB"/>
              </w:rPr>
            </w:pPr>
          </w:p>
        </w:tc>
        <w:tc>
          <w:tcPr>
            <w:tcW w:w="807" w:type="dxa"/>
            <w:tcBorders>
              <w:top w:val="nil"/>
              <w:left w:val="nil"/>
              <w:bottom w:val="nil"/>
              <w:right w:val="nil"/>
            </w:tcBorders>
            <w:shd w:val="clear" w:color="auto" w:fill="auto"/>
            <w:noWrap/>
            <w:vAlign w:val="center"/>
            <w:hideMark/>
          </w:tcPr>
          <w:p w14:paraId="658BA200" w14:textId="77777777" w:rsidR="00F86741" w:rsidRPr="007337C6" w:rsidRDefault="00F86741" w:rsidP="00F86741">
            <w:pPr>
              <w:spacing w:after="0" w:line="240" w:lineRule="auto"/>
              <w:rPr>
                <w:rFonts w:ascii="Trebuchet MS" w:eastAsia="Times New Roman" w:hAnsi="Trebuchet MS" w:cs="Times New Roman"/>
                <w:sz w:val="16"/>
                <w:szCs w:val="16"/>
                <w:lang w:eastAsia="en-GB"/>
              </w:rPr>
            </w:pPr>
          </w:p>
        </w:tc>
        <w:tc>
          <w:tcPr>
            <w:tcW w:w="807" w:type="dxa"/>
            <w:tcBorders>
              <w:top w:val="nil"/>
              <w:left w:val="nil"/>
              <w:bottom w:val="nil"/>
              <w:right w:val="nil"/>
            </w:tcBorders>
            <w:shd w:val="clear" w:color="auto" w:fill="auto"/>
            <w:noWrap/>
            <w:vAlign w:val="center"/>
            <w:hideMark/>
          </w:tcPr>
          <w:p w14:paraId="38D2D1A9" w14:textId="77777777" w:rsidR="00F86741" w:rsidRPr="007337C6" w:rsidRDefault="00F86741" w:rsidP="00F86741">
            <w:pPr>
              <w:spacing w:after="0" w:line="240" w:lineRule="auto"/>
              <w:rPr>
                <w:rFonts w:ascii="Trebuchet MS" w:eastAsia="Times New Roman" w:hAnsi="Trebuchet MS" w:cs="Times New Roman"/>
                <w:sz w:val="16"/>
                <w:szCs w:val="16"/>
                <w:lang w:eastAsia="en-GB"/>
              </w:rPr>
            </w:pPr>
          </w:p>
        </w:tc>
        <w:tc>
          <w:tcPr>
            <w:tcW w:w="807" w:type="dxa"/>
            <w:tcBorders>
              <w:top w:val="nil"/>
              <w:left w:val="nil"/>
              <w:bottom w:val="nil"/>
              <w:right w:val="nil"/>
            </w:tcBorders>
            <w:shd w:val="clear" w:color="auto" w:fill="auto"/>
            <w:noWrap/>
            <w:vAlign w:val="center"/>
            <w:hideMark/>
          </w:tcPr>
          <w:p w14:paraId="0AC21D4F" w14:textId="77777777" w:rsidR="00F86741" w:rsidRPr="007337C6" w:rsidRDefault="00F86741" w:rsidP="00F86741">
            <w:pPr>
              <w:spacing w:after="0" w:line="240" w:lineRule="auto"/>
              <w:rPr>
                <w:rFonts w:ascii="Trebuchet MS" w:eastAsia="Times New Roman" w:hAnsi="Trebuchet MS" w:cs="Times New Roman"/>
                <w:sz w:val="16"/>
                <w:szCs w:val="16"/>
                <w:lang w:eastAsia="en-GB"/>
              </w:rPr>
            </w:pPr>
          </w:p>
        </w:tc>
        <w:tc>
          <w:tcPr>
            <w:tcW w:w="955" w:type="dxa"/>
            <w:tcBorders>
              <w:top w:val="nil"/>
              <w:left w:val="nil"/>
              <w:bottom w:val="nil"/>
              <w:right w:val="nil"/>
            </w:tcBorders>
            <w:shd w:val="clear" w:color="auto" w:fill="auto"/>
            <w:noWrap/>
            <w:vAlign w:val="center"/>
            <w:hideMark/>
          </w:tcPr>
          <w:p w14:paraId="53EB1C2A" w14:textId="77777777" w:rsidR="00F86741" w:rsidRPr="007337C6" w:rsidRDefault="00F86741" w:rsidP="00F86741">
            <w:pPr>
              <w:spacing w:after="0" w:line="240" w:lineRule="auto"/>
              <w:rPr>
                <w:rFonts w:ascii="Trebuchet MS" w:eastAsia="Times New Roman" w:hAnsi="Trebuchet MS" w:cs="Times New Roman"/>
                <w:sz w:val="16"/>
                <w:szCs w:val="16"/>
                <w:lang w:eastAsia="en-GB"/>
              </w:rPr>
            </w:pPr>
          </w:p>
        </w:tc>
        <w:tc>
          <w:tcPr>
            <w:tcW w:w="922" w:type="dxa"/>
            <w:tcBorders>
              <w:top w:val="nil"/>
              <w:left w:val="nil"/>
              <w:bottom w:val="nil"/>
              <w:right w:val="nil"/>
            </w:tcBorders>
            <w:shd w:val="clear" w:color="auto" w:fill="auto"/>
            <w:noWrap/>
            <w:vAlign w:val="center"/>
            <w:hideMark/>
          </w:tcPr>
          <w:p w14:paraId="7DA4677F" w14:textId="77777777" w:rsidR="00F86741" w:rsidRPr="007337C6" w:rsidRDefault="00F86741" w:rsidP="00F86741">
            <w:pPr>
              <w:spacing w:after="0" w:line="240" w:lineRule="auto"/>
              <w:rPr>
                <w:rFonts w:ascii="Trebuchet MS" w:eastAsia="Times New Roman" w:hAnsi="Trebuchet MS" w:cs="Times New Roman"/>
                <w:sz w:val="16"/>
                <w:szCs w:val="16"/>
                <w:lang w:eastAsia="en-GB"/>
              </w:rPr>
            </w:pPr>
          </w:p>
        </w:tc>
        <w:tc>
          <w:tcPr>
            <w:tcW w:w="724" w:type="dxa"/>
            <w:tcBorders>
              <w:top w:val="nil"/>
              <w:left w:val="nil"/>
              <w:bottom w:val="nil"/>
              <w:right w:val="nil"/>
            </w:tcBorders>
            <w:shd w:val="clear" w:color="auto" w:fill="auto"/>
            <w:noWrap/>
            <w:vAlign w:val="center"/>
            <w:hideMark/>
          </w:tcPr>
          <w:p w14:paraId="27237716" w14:textId="77777777" w:rsidR="00F86741" w:rsidRPr="007337C6" w:rsidRDefault="00F86741" w:rsidP="00F86741">
            <w:pPr>
              <w:spacing w:after="0" w:line="240" w:lineRule="auto"/>
              <w:rPr>
                <w:rFonts w:ascii="Trebuchet MS" w:eastAsia="Times New Roman" w:hAnsi="Trebuchet MS" w:cs="Times New Roman"/>
                <w:sz w:val="16"/>
                <w:szCs w:val="16"/>
                <w:lang w:eastAsia="en-GB"/>
              </w:rPr>
            </w:pPr>
          </w:p>
        </w:tc>
        <w:tc>
          <w:tcPr>
            <w:tcW w:w="807" w:type="dxa"/>
            <w:tcBorders>
              <w:top w:val="nil"/>
              <w:left w:val="nil"/>
              <w:bottom w:val="nil"/>
              <w:right w:val="nil"/>
            </w:tcBorders>
            <w:shd w:val="clear" w:color="auto" w:fill="auto"/>
            <w:noWrap/>
            <w:vAlign w:val="center"/>
            <w:hideMark/>
          </w:tcPr>
          <w:p w14:paraId="169C5BE4" w14:textId="77777777" w:rsidR="00F86741" w:rsidRPr="007337C6" w:rsidRDefault="00F86741" w:rsidP="00F86741">
            <w:pPr>
              <w:spacing w:after="0" w:line="240" w:lineRule="auto"/>
              <w:rPr>
                <w:rFonts w:ascii="Trebuchet MS" w:eastAsia="Times New Roman" w:hAnsi="Trebuchet MS" w:cs="Times New Roman"/>
                <w:sz w:val="16"/>
                <w:szCs w:val="16"/>
                <w:lang w:eastAsia="en-GB"/>
              </w:rPr>
            </w:pPr>
          </w:p>
        </w:tc>
      </w:tr>
      <w:tr w:rsidR="00F86741" w:rsidRPr="007337C6" w14:paraId="3CC7CC54" w14:textId="77777777" w:rsidTr="00F86741">
        <w:trPr>
          <w:trHeight w:val="138"/>
        </w:trPr>
        <w:tc>
          <w:tcPr>
            <w:tcW w:w="1485" w:type="dxa"/>
            <w:tcBorders>
              <w:top w:val="nil"/>
              <w:left w:val="nil"/>
              <w:bottom w:val="nil"/>
              <w:right w:val="nil"/>
            </w:tcBorders>
            <w:shd w:val="clear" w:color="auto" w:fill="auto"/>
            <w:noWrap/>
            <w:vAlign w:val="bottom"/>
            <w:hideMark/>
          </w:tcPr>
          <w:p w14:paraId="03DD8855" w14:textId="77777777" w:rsidR="00F86741" w:rsidRPr="007337C6" w:rsidRDefault="00F86741" w:rsidP="00F86741">
            <w:pPr>
              <w:spacing w:after="0" w:line="240" w:lineRule="auto"/>
              <w:rPr>
                <w:rFonts w:ascii="Trebuchet MS" w:eastAsia="Times New Roman" w:hAnsi="Trebuchet MS" w:cs="Times New Roman"/>
                <w:sz w:val="16"/>
                <w:szCs w:val="16"/>
                <w:lang w:eastAsia="en-GB"/>
              </w:rPr>
            </w:pPr>
          </w:p>
        </w:tc>
        <w:tc>
          <w:tcPr>
            <w:tcW w:w="730" w:type="dxa"/>
            <w:tcBorders>
              <w:top w:val="nil"/>
              <w:left w:val="nil"/>
              <w:bottom w:val="nil"/>
              <w:right w:val="nil"/>
            </w:tcBorders>
            <w:shd w:val="clear" w:color="auto" w:fill="auto"/>
            <w:noWrap/>
            <w:vAlign w:val="bottom"/>
            <w:hideMark/>
          </w:tcPr>
          <w:p w14:paraId="64C3DA60" w14:textId="77777777" w:rsidR="00F86741" w:rsidRPr="007337C6" w:rsidRDefault="00F86741" w:rsidP="00F86741">
            <w:pPr>
              <w:spacing w:after="0" w:line="240" w:lineRule="auto"/>
              <w:rPr>
                <w:rFonts w:ascii="Trebuchet MS" w:eastAsia="Times New Roman" w:hAnsi="Trebuchet MS" w:cs="Times New Roman"/>
                <w:sz w:val="16"/>
                <w:szCs w:val="16"/>
                <w:lang w:eastAsia="en-GB"/>
              </w:rPr>
            </w:pPr>
          </w:p>
        </w:tc>
        <w:tc>
          <w:tcPr>
            <w:tcW w:w="955" w:type="dxa"/>
            <w:tcBorders>
              <w:top w:val="nil"/>
              <w:left w:val="nil"/>
              <w:bottom w:val="nil"/>
              <w:right w:val="nil"/>
            </w:tcBorders>
            <w:shd w:val="clear" w:color="auto" w:fill="auto"/>
            <w:noWrap/>
            <w:vAlign w:val="bottom"/>
            <w:hideMark/>
          </w:tcPr>
          <w:p w14:paraId="489D893D" w14:textId="77777777" w:rsidR="00F86741" w:rsidRPr="007337C6" w:rsidRDefault="00F86741" w:rsidP="00F86741">
            <w:pPr>
              <w:spacing w:after="0" w:line="240" w:lineRule="auto"/>
              <w:rPr>
                <w:rFonts w:ascii="Trebuchet MS" w:eastAsia="Times New Roman" w:hAnsi="Trebuchet MS" w:cs="Times New Roman"/>
                <w:sz w:val="16"/>
                <w:szCs w:val="16"/>
                <w:lang w:eastAsia="en-GB"/>
              </w:rPr>
            </w:pPr>
          </w:p>
        </w:tc>
        <w:tc>
          <w:tcPr>
            <w:tcW w:w="922" w:type="dxa"/>
            <w:tcBorders>
              <w:top w:val="nil"/>
              <w:left w:val="nil"/>
              <w:bottom w:val="nil"/>
              <w:right w:val="nil"/>
            </w:tcBorders>
            <w:shd w:val="clear" w:color="auto" w:fill="auto"/>
            <w:noWrap/>
            <w:vAlign w:val="bottom"/>
            <w:hideMark/>
          </w:tcPr>
          <w:p w14:paraId="5EA6C65F" w14:textId="77777777" w:rsidR="00F86741" w:rsidRPr="007337C6" w:rsidRDefault="00F86741" w:rsidP="00F86741">
            <w:pPr>
              <w:spacing w:after="0" w:line="240" w:lineRule="auto"/>
              <w:rPr>
                <w:rFonts w:ascii="Trebuchet MS" w:eastAsia="Times New Roman" w:hAnsi="Trebuchet MS" w:cs="Times New Roman"/>
                <w:sz w:val="16"/>
                <w:szCs w:val="16"/>
                <w:lang w:eastAsia="en-GB"/>
              </w:rPr>
            </w:pPr>
          </w:p>
        </w:tc>
        <w:tc>
          <w:tcPr>
            <w:tcW w:w="807" w:type="dxa"/>
            <w:tcBorders>
              <w:top w:val="nil"/>
              <w:left w:val="nil"/>
              <w:bottom w:val="nil"/>
              <w:right w:val="nil"/>
            </w:tcBorders>
            <w:shd w:val="clear" w:color="auto" w:fill="auto"/>
            <w:noWrap/>
            <w:vAlign w:val="bottom"/>
            <w:hideMark/>
          </w:tcPr>
          <w:p w14:paraId="3F1502DA" w14:textId="77777777" w:rsidR="00F86741" w:rsidRPr="007337C6" w:rsidRDefault="00F86741" w:rsidP="00F86741">
            <w:pPr>
              <w:spacing w:after="0" w:line="240" w:lineRule="auto"/>
              <w:rPr>
                <w:rFonts w:ascii="Trebuchet MS" w:eastAsia="Times New Roman" w:hAnsi="Trebuchet MS" w:cs="Times New Roman"/>
                <w:sz w:val="16"/>
                <w:szCs w:val="16"/>
                <w:lang w:eastAsia="en-GB"/>
              </w:rPr>
            </w:pPr>
          </w:p>
        </w:tc>
        <w:tc>
          <w:tcPr>
            <w:tcW w:w="807" w:type="dxa"/>
            <w:tcBorders>
              <w:top w:val="nil"/>
              <w:left w:val="nil"/>
              <w:bottom w:val="nil"/>
              <w:right w:val="nil"/>
            </w:tcBorders>
            <w:shd w:val="clear" w:color="auto" w:fill="auto"/>
            <w:noWrap/>
            <w:vAlign w:val="bottom"/>
            <w:hideMark/>
          </w:tcPr>
          <w:p w14:paraId="241B44F5" w14:textId="77777777" w:rsidR="00F86741" w:rsidRPr="007337C6" w:rsidRDefault="00F86741" w:rsidP="00F86741">
            <w:pPr>
              <w:spacing w:after="0" w:line="240" w:lineRule="auto"/>
              <w:rPr>
                <w:rFonts w:ascii="Trebuchet MS" w:eastAsia="Times New Roman" w:hAnsi="Trebuchet MS" w:cs="Times New Roman"/>
                <w:sz w:val="16"/>
                <w:szCs w:val="16"/>
                <w:lang w:eastAsia="en-GB"/>
              </w:rPr>
            </w:pPr>
          </w:p>
        </w:tc>
        <w:tc>
          <w:tcPr>
            <w:tcW w:w="807" w:type="dxa"/>
            <w:tcBorders>
              <w:top w:val="nil"/>
              <w:left w:val="nil"/>
              <w:bottom w:val="nil"/>
              <w:right w:val="nil"/>
            </w:tcBorders>
            <w:shd w:val="clear" w:color="auto" w:fill="auto"/>
            <w:noWrap/>
            <w:vAlign w:val="bottom"/>
            <w:hideMark/>
          </w:tcPr>
          <w:p w14:paraId="453123BA" w14:textId="77777777" w:rsidR="00F86741" w:rsidRPr="007337C6" w:rsidRDefault="00F86741" w:rsidP="00F86741">
            <w:pPr>
              <w:spacing w:after="0" w:line="240" w:lineRule="auto"/>
              <w:rPr>
                <w:rFonts w:ascii="Trebuchet MS" w:eastAsia="Times New Roman" w:hAnsi="Trebuchet MS" w:cs="Times New Roman"/>
                <w:sz w:val="16"/>
                <w:szCs w:val="16"/>
                <w:lang w:eastAsia="en-GB"/>
              </w:rPr>
            </w:pPr>
          </w:p>
        </w:tc>
        <w:tc>
          <w:tcPr>
            <w:tcW w:w="955" w:type="dxa"/>
            <w:tcBorders>
              <w:top w:val="nil"/>
              <w:left w:val="nil"/>
              <w:bottom w:val="nil"/>
              <w:right w:val="nil"/>
            </w:tcBorders>
            <w:shd w:val="clear" w:color="auto" w:fill="auto"/>
            <w:noWrap/>
            <w:vAlign w:val="bottom"/>
            <w:hideMark/>
          </w:tcPr>
          <w:p w14:paraId="09345D4E" w14:textId="77777777" w:rsidR="00F86741" w:rsidRPr="007337C6" w:rsidRDefault="00F86741" w:rsidP="00F86741">
            <w:pPr>
              <w:spacing w:after="0" w:line="240" w:lineRule="auto"/>
              <w:rPr>
                <w:rFonts w:ascii="Trebuchet MS" w:eastAsia="Times New Roman" w:hAnsi="Trebuchet MS" w:cs="Times New Roman"/>
                <w:sz w:val="16"/>
                <w:szCs w:val="16"/>
                <w:lang w:eastAsia="en-GB"/>
              </w:rPr>
            </w:pPr>
          </w:p>
        </w:tc>
        <w:tc>
          <w:tcPr>
            <w:tcW w:w="922" w:type="dxa"/>
            <w:tcBorders>
              <w:top w:val="nil"/>
              <w:left w:val="nil"/>
              <w:bottom w:val="nil"/>
              <w:right w:val="nil"/>
            </w:tcBorders>
            <w:shd w:val="clear" w:color="auto" w:fill="auto"/>
            <w:noWrap/>
            <w:vAlign w:val="bottom"/>
            <w:hideMark/>
          </w:tcPr>
          <w:p w14:paraId="38EC3ECC" w14:textId="77777777" w:rsidR="00F86741" w:rsidRPr="007337C6" w:rsidRDefault="00F86741" w:rsidP="00F86741">
            <w:pPr>
              <w:spacing w:after="0" w:line="240" w:lineRule="auto"/>
              <w:rPr>
                <w:rFonts w:ascii="Trebuchet MS" w:eastAsia="Times New Roman" w:hAnsi="Trebuchet MS" w:cs="Times New Roman"/>
                <w:sz w:val="16"/>
                <w:szCs w:val="16"/>
                <w:lang w:eastAsia="en-GB"/>
              </w:rPr>
            </w:pPr>
          </w:p>
        </w:tc>
        <w:tc>
          <w:tcPr>
            <w:tcW w:w="724" w:type="dxa"/>
            <w:tcBorders>
              <w:top w:val="nil"/>
              <w:left w:val="nil"/>
              <w:bottom w:val="nil"/>
              <w:right w:val="nil"/>
            </w:tcBorders>
            <w:shd w:val="clear" w:color="auto" w:fill="auto"/>
            <w:noWrap/>
            <w:vAlign w:val="bottom"/>
            <w:hideMark/>
          </w:tcPr>
          <w:p w14:paraId="5A31DA32" w14:textId="77777777" w:rsidR="00F86741" w:rsidRPr="007337C6" w:rsidRDefault="00F86741" w:rsidP="00F86741">
            <w:pPr>
              <w:spacing w:after="0" w:line="240" w:lineRule="auto"/>
              <w:rPr>
                <w:rFonts w:ascii="Trebuchet MS" w:eastAsia="Times New Roman" w:hAnsi="Trebuchet MS" w:cs="Times New Roman"/>
                <w:sz w:val="16"/>
                <w:szCs w:val="16"/>
                <w:lang w:eastAsia="en-GB"/>
              </w:rPr>
            </w:pPr>
          </w:p>
        </w:tc>
        <w:tc>
          <w:tcPr>
            <w:tcW w:w="807" w:type="dxa"/>
            <w:tcBorders>
              <w:top w:val="nil"/>
              <w:left w:val="nil"/>
              <w:bottom w:val="nil"/>
              <w:right w:val="nil"/>
            </w:tcBorders>
            <w:shd w:val="clear" w:color="auto" w:fill="auto"/>
            <w:noWrap/>
            <w:vAlign w:val="bottom"/>
            <w:hideMark/>
          </w:tcPr>
          <w:p w14:paraId="458C91F2" w14:textId="77777777" w:rsidR="00F86741" w:rsidRPr="007337C6" w:rsidRDefault="00F86741" w:rsidP="00F86741">
            <w:pPr>
              <w:spacing w:after="0" w:line="240" w:lineRule="auto"/>
              <w:rPr>
                <w:rFonts w:ascii="Trebuchet MS" w:eastAsia="Times New Roman" w:hAnsi="Trebuchet MS" w:cs="Times New Roman"/>
                <w:sz w:val="16"/>
                <w:szCs w:val="16"/>
                <w:lang w:eastAsia="en-GB"/>
              </w:rPr>
            </w:pPr>
          </w:p>
        </w:tc>
      </w:tr>
      <w:tr w:rsidR="00F86741" w:rsidRPr="007337C6" w14:paraId="1BC9E2B8" w14:textId="77777777" w:rsidTr="00F86741">
        <w:trPr>
          <w:trHeight w:val="276"/>
        </w:trPr>
        <w:tc>
          <w:tcPr>
            <w:tcW w:w="1485" w:type="dxa"/>
            <w:tcBorders>
              <w:top w:val="nil"/>
              <w:left w:val="nil"/>
              <w:bottom w:val="nil"/>
              <w:right w:val="nil"/>
            </w:tcBorders>
            <w:shd w:val="clear" w:color="auto" w:fill="auto"/>
            <w:noWrap/>
            <w:vAlign w:val="bottom"/>
            <w:hideMark/>
          </w:tcPr>
          <w:p w14:paraId="57F67D11" w14:textId="77777777" w:rsidR="00F86741" w:rsidRPr="007337C6" w:rsidRDefault="00F86741" w:rsidP="00F86741">
            <w:pPr>
              <w:spacing w:after="0" w:line="240" w:lineRule="auto"/>
              <w:rPr>
                <w:rFonts w:ascii="Trebuchet MS" w:eastAsia="Times New Roman" w:hAnsi="Trebuchet MS" w:cs="Times New Roman"/>
                <w:sz w:val="16"/>
                <w:szCs w:val="16"/>
                <w:lang w:eastAsia="en-GB"/>
              </w:rPr>
            </w:pPr>
          </w:p>
        </w:tc>
        <w:tc>
          <w:tcPr>
            <w:tcW w:w="3415" w:type="dxa"/>
            <w:gridSpan w:val="4"/>
            <w:tcBorders>
              <w:top w:val="single" w:sz="8" w:space="0" w:color="0070C0"/>
              <w:left w:val="single" w:sz="8" w:space="0" w:color="0070C0"/>
              <w:bottom w:val="single" w:sz="8" w:space="0" w:color="0070C0"/>
              <w:right w:val="nil"/>
            </w:tcBorders>
            <w:shd w:val="clear" w:color="auto" w:fill="auto"/>
            <w:noWrap/>
            <w:vAlign w:val="center"/>
            <w:hideMark/>
          </w:tcPr>
          <w:p w14:paraId="2628EB1D" w14:textId="77777777" w:rsidR="00F86741" w:rsidRPr="006C303A" w:rsidRDefault="00F86741" w:rsidP="00F86741">
            <w:pPr>
              <w:spacing w:after="0" w:line="240" w:lineRule="auto"/>
              <w:jc w:val="center"/>
              <w:rPr>
                <w:rFonts w:ascii="Trebuchet MS" w:eastAsia="Times New Roman" w:hAnsi="Trebuchet MS" w:cs="Times New Roman"/>
                <w:b/>
                <w:bCs/>
                <w:color w:val="0070C0"/>
                <w:sz w:val="16"/>
                <w:szCs w:val="16"/>
                <w:lang w:eastAsia="en-GB"/>
              </w:rPr>
            </w:pPr>
            <w:r w:rsidRPr="006C303A">
              <w:rPr>
                <w:rFonts w:ascii="Trebuchet MS" w:eastAsia="Times New Roman" w:hAnsi="Trebuchet MS" w:cs="Times New Roman"/>
                <w:b/>
                <w:bCs/>
                <w:color w:val="0070C0"/>
                <w:sz w:val="16"/>
                <w:szCs w:val="16"/>
                <w:lang w:eastAsia="en-GB"/>
              </w:rPr>
              <w:t>Before Scheme</w:t>
            </w:r>
          </w:p>
        </w:tc>
        <w:tc>
          <w:tcPr>
            <w:tcW w:w="807" w:type="dxa"/>
            <w:tcBorders>
              <w:top w:val="single" w:sz="8" w:space="0" w:color="0070C0"/>
              <w:left w:val="nil"/>
              <w:bottom w:val="single" w:sz="8" w:space="0" w:color="0070C0"/>
              <w:right w:val="single" w:sz="8" w:space="0" w:color="0070C0"/>
            </w:tcBorders>
            <w:shd w:val="clear" w:color="auto" w:fill="auto"/>
            <w:noWrap/>
            <w:vAlign w:val="center"/>
            <w:hideMark/>
          </w:tcPr>
          <w:p w14:paraId="0AD08DA2" w14:textId="77777777" w:rsidR="00F86741" w:rsidRPr="006C303A" w:rsidRDefault="00F86741" w:rsidP="00F86741">
            <w:pPr>
              <w:spacing w:after="0" w:line="240" w:lineRule="auto"/>
              <w:jc w:val="center"/>
              <w:rPr>
                <w:rFonts w:ascii="Trebuchet MS" w:eastAsia="Times New Roman" w:hAnsi="Trebuchet MS" w:cs="Times New Roman"/>
                <w:b/>
                <w:bCs/>
                <w:color w:val="0070C0"/>
                <w:sz w:val="16"/>
                <w:szCs w:val="16"/>
                <w:lang w:eastAsia="en-GB"/>
              </w:rPr>
            </w:pPr>
            <w:r w:rsidRPr="006C303A">
              <w:rPr>
                <w:rFonts w:ascii="Trebuchet MS" w:eastAsia="Times New Roman" w:hAnsi="Trebuchet MS" w:cs="Times New Roman"/>
                <w:b/>
                <w:bCs/>
                <w:color w:val="0070C0"/>
                <w:sz w:val="16"/>
                <w:szCs w:val="16"/>
                <w:lang w:eastAsia="en-GB"/>
              </w:rPr>
              <w:t> </w:t>
            </w:r>
          </w:p>
        </w:tc>
        <w:tc>
          <w:tcPr>
            <w:tcW w:w="4217" w:type="dxa"/>
            <w:gridSpan w:val="5"/>
            <w:tcBorders>
              <w:top w:val="single" w:sz="8" w:space="0" w:color="0070C0"/>
              <w:left w:val="nil"/>
              <w:bottom w:val="single" w:sz="8" w:space="0" w:color="0070C0"/>
              <w:right w:val="single" w:sz="8" w:space="0" w:color="0070C0"/>
            </w:tcBorders>
            <w:shd w:val="clear" w:color="auto" w:fill="auto"/>
            <w:noWrap/>
            <w:vAlign w:val="center"/>
            <w:hideMark/>
          </w:tcPr>
          <w:p w14:paraId="7DD62802" w14:textId="77777777" w:rsidR="00F86741" w:rsidRPr="006C303A" w:rsidRDefault="00F86741" w:rsidP="00F86741">
            <w:pPr>
              <w:spacing w:after="0" w:line="240" w:lineRule="auto"/>
              <w:jc w:val="center"/>
              <w:rPr>
                <w:rFonts w:ascii="Trebuchet MS" w:eastAsia="Times New Roman" w:hAnsi="Trebuchet MS" w:cs="Times New Roman"/>
                <w:b/>
                <w:bCs/>
                <w:color w:val="0070C0"/>
                <w:sz w:val="16"/>
                <w:szCs w:val="16"/>
                <w:lang w:eastAsia="en-GB"/>
              </w:rPr>
            </w:pPr>
            <w:r w:rsidRPr="006C303A">
              <w:rPr>
                <w:rFonts w:ascii="Trebuchet MS" w:eastAsia="Times New Roman" w:hAnsi="Trebuchet MS" w:cs="Times New Roman"/>
                <w:b/>
                <w:bCs/>
                <w:color w:val="0070C0"/>
                <w:sz w:val="16"/>
                <w:szCs w:val="16"/>
                <w:lang w:eastAsia="en-GB"/>
              </w:rPr>
              <w:t>After Scheme</w:t>
            </w:r>
          </w:p>
        </w:tc>
      </w:tr>
      <w:tr w:rsidR="00F86741" w:rsidRPr="007337C6" w14:paraId="48673978" w14:textId="77777777" w:rsidTr="00F86741">
        <w:trPr>
          <w:trHeight w:val="298"/>
        </w:trPr>
        <w:tc>
          <w:tcPr>
            <w:tcW w:w="1485" w:type="dxa"/>
            <w:tcBorders>
              <w:top w:val="nil"/>
              <w:left w:val="nil"/>
              <w:bottom w:val="nil"/>
              <w:right w:val="nil"/>
            </w:tcBorders>
            <w:shd w:val="clear" w:color="auto" w:fill="auto"/>
            <w:noWrap/>
            <w:vAlign w:val="center"/>
            <w:hideMark/>
          </w:tcPr>
          <w:p w14:paraId="2B0B686A" w14:textId="77777777" w:rsidR="00F86741" w:rsidRPr="007337C6" w:rsidRDefault="00F86741" w:rsidP="00F86741">
            <w:pPr>
              <w:spacing w:after="0" w:line="240" w:lineRule="auto"/>
              <w:jc w:val="center"/>
              <w:rPr>
                <w:rFonts w:ascii="Trebuchet MS" w:eastAsia="Times New Roman" w:hAnsi="Trebuchet MS" w:cs="Times New Roman"/>
                <w:b/>
                <w:bCs/>
                <w:color w:val="000000"/>
                <w:sz w:val="16"/>
                <w:szCs w:val="16"/>
                <w:lang w:eastAsia="en-GB"/>
              </w:rPr>
            </w:pPr>
            <w:r w:rsidRPr="007337C6">
              <w:rPr>
                <w:rFonts w:ascii="Trebuchet MS" w:eastAsia="Times New Roman" w:hAnsi="Trebuchet MS" w:cs="Times New Roman"/>
                <w:b/>
                <w:bCs/>
                <w:color w:val="000000"/>
                <w:sz w:val="16"/>
                <w:szCs w:val="16"/>
                <w:lang w:eastAsia="en-GB"/>
              </w:rPr>
              <w:t>LGI</w:t>
            </w:r>
          </w:p>
        </w:tc>
        <w:tc>
          <w:tcPr>
            <w:tcW w:w="730" w:type="dxa"/>
            <w:tcBorders>
              <w:top w:val="nil"/>
              <w:left w:val="single" w:sz="8" w:space="0" w:color="0070C0"/>
              <w:bottom w:val="single" w:sz="8" w:space="0" w:color="0070C0"/>
              <w:right w:val="nil"/>
            </w:tcBorders>
            <w:shd w:val="clear" w:color="auto" w:fill="auto"/>
            <w:noWrap/>
            <w:vAlign w:val="center"/>
            <w:hideMark/>
          </w:tcPr>
          <w:p w14:paraId="6FB16D7E" w14:textId="77777777" w:rsidR="00F86741" w:rsidRPr="007337C6" w:rsidRDefault="00F86741" w:rsidP="00F86741">
            <w:pPr>
              <w:spacing w:after="0" w:line="240" w:lineRule="auto"/>
              <w:jc w:val="right"/>
              <w:rPr>
                <w:rFonts w:ascii="Trebuchet MS" w:eastAsia="Times New Roman" w:hAnsi="Trebuchet MS" w:cs="Times New Roman"/>
                <w:color w:val="0070C0"/>
                <w:sz w:val="16"/>
                <w:szCs w:val="16"/>
                <w:lang w:eastAsia="en-GB"/>
              </w:rPr>
            </w:pPr>
            <w:r w:rsidRPr="007337C6">
              <w:rPr>
                <w:rFonts w:ascii="Trebuchet MS" w:eastAsia="Times New Roman" w:hAnsi="Trebuchet MS" w:cs="Times New Roman"/>
                <w:color w:val="0070C0"/>
                <w:sz w:val="16"/>
                <w:szCs w:val="16"/>
                <w:lang w:eastAsia="en-GB"/>
              </w:rPr>
              <w:t>UK</w:t>
            </w:r>
          </w:p>
        </w:tc>
        <w:tc>
          <w:tcPr>
            <w:tcW w:w="955" w:type="dxa"/>
            <w:tcBorders>
              <w:top w:val="nil"/>
              <w:left w:val="nil"/>
              <w:bottom w:val="single" w:sz="8" w:space="0" w:color="0070C0"/>
              <w:right w:val="nil"/>
            </w:tcBorders>
            <w:shd w:val="clear" w:color="auto" w:fill="auto"/>
            <w:noWrap/>
            <w:vAlign w:val="center"/>
            <w:hideMark/>
          </w:tcPr>
          <w:p w14:paraId="04C26374" w14:textId="77777777" w:rsidR="00F86741" w:rsidRPr="007337C6" w:rsidRDefault="00F86741" w:rsidP="00F86741">
            <w:pPr>
              <w:spacing w:after="0" w:line="240" w:lineRule="auto"/>
              <w:jc w:val="right"/>
              <w:rPr>
                <w:rFonts w:ascii="Trebuchet MS" w:eastAsia="Times New Roman" w:hAnsi="Trebuchet MS" w:cs="Times New Roman"/>
                <w:color w:val="0070C0"/>
                <w:sz w:val="16"/>
                <w:szCs w:val="16"/>
                <w:lang w:eastAsia="en-GB"/>
              </w:rPr>
            </w:pPr>
            <w:r w:rsidRPr="007337C6">
              <w:rPr>
                <w:rFonts w:ascii="Trebuchet MS" w:eastAsia="Times New Roman" w:hAnsi="Trebuchet MS" w:cs="Times New Roman"/>
                <w:color w:val="0070C0"/>
                <w:sz w:val="16"/>
                <w:szCs w:val="16"/>
                <w:lang w:eastAsia="en-GB"/>
              </w:rPr>
              <w:t>Switzerland</w:t>
            </w:r>
          </w:p>
        </w:tc>
        <w:tc>
          <w:tcPr>
            <w:tcW w:w="922" w:type="dxa"/>
            <w:tcBorders>
              <w:top w:val="nil"/>
              <w:left w:val="nil"/>
              <w:bottom w:val="single" w:sz="8" w:space="0" w:color="0070C0"/>
              <w:right w:val="nil"/>
            </w:tcBorders>
            <w:shd w:val="clear" w:color="auto" w:fill="auto"/>
            <w:noWrap/>
            <w:vAlign w:val="center"/>
            <w:hideMark/>
          </w:tcPr>
          <w:p w14:paraId="306E032D" w14:textId="77777777" w:rsidR="00F86741" w:rsidRPr="007337C6" w:rsidRDefault="00F86741" w:rsidP="00F86741">
            <w:pPr>
              <w:spacing w:after="0" w:line="240" w:lineRule="auto"/>
              <w:jc w:val="right"/>
              <w:rPr>
                <w:rFonts w:ascii="Trebuchet MS" w:eastAsia="Times New Roman" w:hAnsi="Trebuchet MS" w:cs="Times New Roman"/>
                <w:color w:val="0070C0"/>
                <w:sz w:val="16"/>
                <w:szCs w:val="16"/>
                <w:lang w:eastAsia="en-GB"/>
              </w:rPr>
            </w:pPr>
            <w:r w:rsidRPr="007337C6">
              <w:rPr>
                <w:rFonts w:ascii="Trebuchet MS" w:eastAsia="Times New Roman" w:hAnsi="Trebuchet MS" w:cs="Times New Roman"/>
                <w:color w:val="0070C0"/>
                <w:sz w:val="16"/>
                <w:szCs w:val="16"/>
                <w:lang w:eastAsia="en-GB"/>
              </w:rPr>
              <w:t>South Africa</w:t>
            </w:r>
          </w:p>
        </w:tc>
        <w:tc>
          <w:tcPr>
            <w:tcW w:w="807" w:type="dxa"/>
            <w:tcBorders>
              <w:top w:val="nil"/>
              <w:left w:val="nil"/>
              <w:bottom w:val="single" w:sz="8" w:space="0" w:color="0070C0"/>
              <w:right w:val="nil"/>
            </w:tcBorders>
            <w:shd w:val="clear" w:color="auto" w:fill="auto"/>
            <w:noWrap/>
            <w:vAlign w:val="center"/>
            <w:hideMark/>
          </w:tcPr>
          <w:p w14:paraId="077CAB5E" w14:textId="77777777" w:rsidR="00F86741" w:rsidRPr="007337C6" w:rsidRDefault="00F86741" w:rsidP="00F86741">
            <w:pPr>
              <w:spacing w:after="0" w:line="240" w:lineRule="auto"/>
              <w:jc w:val="right"/>
              <w:rPr>
                <w:rFonts w:ascii="Trebuchet MS" w:eastAsia="Times New Roman" w:hAnsi="Trebuchet MS" w:cs="Times New Roman"/>
                <w:color w:val="0070C0"/>
                <w:sz w:val="16"/>
                <w:szCs w:val="16"/>
                <w:lang w:eastAsia="en-GB"/>
              </w:rPr>
            </w:pPr>
            <w:r w:rsidRPr="007337C6">
              <w:rPr>
                <w:rFonts w:ascii="Trebuchet MS" w:eastAsia="Times New Roman" w:hAnsi="Trebuchet MS" w:cs="Times New Roman"/>
                <w:color w:val="0070C0"/>
                <w:sz w:val="16"/>
                <w:szCs w:val="16"/>
                <w:lang w:eastAsia="en-GB"/>
              </w:rPr>
              <w:t>EU</w:t>
            </w:r>
          </w:p>
        </w:tc>
        <w:tc>
          <w:tcPr>
            <w:tcW w:w="807" w:type="dxa"/>
            <w:tcBorders>
              <w:top w:val="nil"/>
              <w:left w:val="single" w:sz="8" w:space="0" w:color="0070C0"/>
              <w:bottom w:val="single" w:sz="8" w:space="0" w:color="0070C0"/>
              <w:right w:val="single" w:sz="8" w:space="0" w:color="0070C0"/>
            </w:tcBorders>
            <w:shd w:val="clear" w:color="auto" w:fill="auto"/>
            <w:noWrap/>
            <w:vAlign w:val="center"/>
            <w:hideMark/>
          </w:tcPr>
          <w:p w14:paraId="54C6FCB4" w14:textId="77777777" w:rsidR="00F86741" w:rsidRPr="007337C6" w:rsidRDefault="00F86741" w:rsidP="00F86741">
            <w:pPr>
              <w:spacing w:after="0" w:line="240" w:lineRule="auto"/>
              <w:jc w:val="right"/>
              <w:rPr>
                <w:rFonts w:ascii="Trebuchet MS" w:eastAsia="Times New Roman" w:hAnsi="Trebuchet MS" w:cs="Times New Roman"/>
                <w:color w:val="0070C0"/>
                <w:sz w:val="16"/>
                <w:szCs w:val="16"/>
                <w:lang w:eastAsia="en-GB"/>
              </w:rPr>
            </w:pPr>
            <w:r w:rsidRPr="007337C6">
              <w:rPr>
                <w:rFonts w:ascii="Trebuchet MS" w:eastAsia="Times New Roman" w:hAnsi="Trebuchet MS" w:cs="Times New Roman"/>
                <w:color w:val="0070C0"/>
                <w:sz w:val="16"/>
                <w:szCs w:val="16"/>
                <w:lang w:eastAsia="en-GB"/>
              </w:rPr>
              <w:t>Total</w:t>
            </w:r>
          </w:p>
        </w:tc>
        <w:tc>
          <w:tcPr>
            <w:tcW w:w="807" w:type="dxa"/>
            <w:tcBorders>
              <w:top w:val="nil"/>
              <w:left w:val="nil"/>
              <w:bottom w:val="single" w:sz="8" w:space="0" w:color="0070C0"/>
              <w:right w:val="nil"/>
            </w:tcBorders>
            <w:shd w:val="clear" w:color="auto" w:fill="auto"/>
            <w:noWrap/>
            <w:vAlign w:val="center"/>
            <w:hideMark/>
          </w:tcPr>
          <w:p w14:paraId="70D97123" w14:textId="77777777" w:rsidR="00F86741" w:rsidRPr="007337C6" w:rsidRDefault="00F86741" w:rsidP="00F86741">
            <w:pPr>
              <w:spacing w:after="0" w:line="240" w:lineRule="auto"/>
              <w:jc w:val="right"/>
              <w:rPr>
                <w:rFonts w:ascii="Trebuchet MS" w:eastAsia="Times New Roman" w:hAnsi="Trebuchet MS" w:cs="Times New Roman"/>
                <w:color w:val="0070C0"/>
                <w:sz w:val="16"/>
                <w:szCs w:val="16"/>
                <w:lang w:eastAsia="en-GB"/>
              </w:rPr>
            </w:pPr>
            <w:r w:rsidRPr="007337C6">
              <w:rPr>
                <w:rFonts w:ascii="Trebuchet MS" w:eastAsia="Times New Roman" w:hAnsi="Trebuchet MS" w:cs="Times New Roman"/>
                <w:color w:val="0070C0"/>
                <w:sz w:val="16"/>
                <w:szCs w:val="16"/>
                <w:lang w:eastAsia="en-GB"/>
              </w:rPr>
              <w:t>UK</w:t>
            </w:r>
          </w:p>
        </w:tc>
        <w:tc>
          <w:tcPr>
            <w:tcW w:w="955" w:type="dxa"/>
            <w:tcBorders>
              <w:top w:val="nil"/>
              <w:left w:val="nil"/>
              <w:bottom w:val="single" w:sz="8" w:space="0" w:color="0070C0"/>
              <w:right w:val="nil"/>
            </w:tcBorders>
            <w:shd w:val="clear" w:color="auto" w:fill="auto"/>
            <w:noWrap/>
            <w:vAlign w:val="center"/>
            <w:hideMark/>
          </w:tcPr>
          <w:p w14:paraId="60D62D32" w14:textId="77777777" w:rsidR="00F86741" w:rsidRPr="007337C6" w:rsidRDefault="00F86741" w:rsidP="00F86741">
            <w:pPr>
              <w:spacing w:after="0" w:line="240" w:lineRule="auto"/>
              <w:jc w:val="right"/>
              <w:rPr>
                <w:rFonts w:ascii="Trebuchet MS" w:eastAsia="Times New Roman" w:hAnsi="Trebuchet MS" w:cs="Times New Roman"/>
                <w:color w:val="0070C0"/>
                <w:sz w:val="16"/>
                <w:szCs w:val="16"/>
                <w:lang w:eastAsia="en-GB"/>
              </w:rPr>
            </w:pPr>
            <w:r w:rsidRPr="007337C6">
              <w:rPr>
                <w:rFonts w:ascii="Trebuchet MS" w:eastAsia="Times New Roman" w:hAnsi="Trebuchet MS" w:cs="Times New Roman"/>
                <w:color w:val="0070C0"/>
                <w:sz w:val="16"/>
                <w:szCs w:val="16"/>
                <w:lang w:eastAsia="en-GB"/>
              </w:rPr>
              <w:t>Switzerland</w:t>
            </w:r>
          </w:p>
        </w:tc>
        <w:tc>
          <w:tcPr>
            <w:tcW w:w="922" w:type="dxa"/>
            <w:tcBorders>
              <w:top w:val="nil"/>
              <w:left w:val="nil"/>
              <w:bottom w:val="single" w:sz="8" w:space="0" w:color="0070C0"/>
              <w:right w:val="nil"/>
            </w:tcBorders>
            <w:shd w:val="clear" w:color="auto" w:fill="auto"/>
            <w:noWrap/>
            <w:vAlign w:val="center"/>
            <w:hideMark/>
          </w:tcPr>
          <w:p w14:paraId="1390BD25" w14:textId="77777777" w:rsidR="00F86741" w:rsidRPr="007337C6" w:rsidRDefault="00F86741" w:rsidP="00F86741">
            <w:pPr>
              <w:spacing w:after="0" w:line="240" w:lineRule="auto"/>
              <w:jc w:val="right"/>
              <w:rPr>
                <w:rFonts w:ascii="Trebuchet MS" w:eastAsia="Times New Roman" w:hAnsi="Trebuchet MS" w:cs="Times New Roman"/>
                <w:color w:val="0070C0"/>
                <w:sz w:val="16"/>
                <w:szCs w:val="16"/>
                <w:lang w:eastAsia="en-GB"/>
              </w:rPr>
            </w:pPr>
            <w:r w:rsidRPr="007337C6">
              <w:rPr>
                <w:rFonts w:ascii="Trebuchet MS" w:eastAsia="Times New Roman" w:hAnsi="Trebuchet MS" w:cs="Times New Roman"/>
                <w:color w:val="0070C0"/>
                <w:sz w:val="16"/>
                <w:szCs w:val="16"/>
                <w:lang w:eastAsia="en-GB"/>
              </w:rPr>
              <w:t>South Africa</w:t>
            </w:r>
          </w:p>
        </w:tc>
        <w:tc>
          <w:tcPr>
            <w:tcW w:w="724" w:type="dxa"/>
            <w:tcBorders>
              <w:top w:val="nil"/>
              <w:left w:val="nil"/>
              <w:bottom w:val="single" w:sz="8" w:space="0" w:color="0070C0"/>
              <w:right w:val="nil"/>
            </w:tcBorders>
            <w:shd w:val="clear" w:color="auto" w:fill="auto"/>
            <w:noWrap/>
            <w:vAlign w:val="center"/>
            <w:hideMark/>
          </w:tcPr>
          <w:p w14:paraId="32B4F016" w14:textId="77777777" w:rsidR="00F86741" w:rsidRPr="007337C6" w:rsidRDefault="00F86741" w:rsidP="00F86741">
            <w:pPr>
              <w:spacing w:after="0" w:line="240" w:lineRule="auto"/>
              <w:jc w:val="right"/>
              <w:rPr>
                <w:rFonts w:ascii="Trebuchet MS" w:eastAsia="Times New Roman" w:hAnsi="Trebuchet MS" w:cs="Times New Roman"/>
                <w:color w:val="0070C0"/>
                <w:sz w:val="16"/>
                <w:szCs w:val="16"/>
                <w:lang w:eastAsia="en-GB"/>
              </w:rPr>
            </w:pPr>
            <w:r w:rsidRPr="007337C6">
              <w:rPr>
                <w:rFonts w:ascii="Trebuchet MS" w:eastAsia="Times New Roman" w:hAnsi="Trebuchet MS" w:cs="Times New Roman"/>
                <w:color w:val="0070C0"/>
                <w:sz w:val="16"/>
                <w:szCs w:val="16"/>
                <w:lang w:eastAsia="en-GB"/>
              </w:rPr>
              <w:t>EU</w:t>
            </w:r>
          </w:p>
        </w:tc>
        <w:tc>
          <w:tcPr>
            <w:tcW w:w="807" w:type="dxa"/>
            <w:tcBorders>
              <w:top w:val="nil"/>
              <w:left w:val="single" w:sz="8" w:space="0" w:color="0070C0"/>
              <w:bottom w:val="single" w:sz="8" w:space="0" w:color="0070C0"/>
              <w:right w:val="single" w:sz="8" w:space="0" w:color="0070C0"/>
            </w:tcBorders>
            <w:shd w:val="clear" w:color="auto" w:fill="auto"/>
            <w:noWrap/>
            <w:vAlign w:val="center"/>
            <w:hideMark/>
          </w:tcPr>
          <w:p w14:paraId="626B45F2" w14:textId="77777777" w:rsidR="00F86741" w:rsidRPr="007337C6" w:rsidRDefault="00F86741" w:rsidP="00F86741">
            <w:pPr>
              <w:spacing w:after="0" w:line="240" w:lineRule="auto"/>
              <w:jc w:val="right"/>
              <w:rPr>
                <w:rFonts w:ascii="Trebuchet MS" w:eastAsia="Times New Roman" w:hAnsi="Trebuchet MS" w:cs="Times New Roman"/>
                <w:color w:val="0070C0"/>
                <w:sz w:val="16"/>
                <w:szCs w:val="16"/>
                <w:lang w:eastAsia="en-GB"/>
              </w:rPr>
            </w:pPr>
            <w:r w:rsidRPr="007337C6">
              <w:rPr>
                <w:rFonts w:ascii="Trebuchet MS" w:eastAsia="Times New Roman" w:hAnsi="Trebuchet MS" w:cs="Times New Roman"/>
                <w:color w:val="0070C0"/>
                <w:sz w:val="16"/>
                <w:szCs w:val="16"/>
                <w:lang w:eastAsia="en-GB"/>
              </w:rPr>
              <w:t>Total</w:t>
            </w:r>
          </w:p>
        </w:tc>
      </w:tr>
      <w:tr w:rsidR="00F86741" w:rsidRPr="007337C6" w14:paraId="00A8E1B1" w14:textId="77777777" w:rsidTr="001E2B2B">
        <w:trPr>
          <w:trHeight w:val="276"/>
        </w:trPr>
        <w:tc>
          <w:tcPr>
            <w:tcW w:w="1485" w:type="dxa"/>
            <w:tcBorders>
              <w:top w:val="single" w:sz="8" w:space="0" w:color="0070C0"/>
              <w:left w:val="single" w:sz="8" w:space="0" w:color="0070C0"/>
              <w:bottom w:val="single" w:sz="8" w:space="0" w:color="0070C0"/>
              <w:right w:val="single" w:sz="8" w:space="0" w:color="0070C0"/>
            </w:tcBorders>
            <w:shd w:val="clear" w:color="auto" w:fill="auto"/>
            <w:noWrap/>
            <w:vAlign w:val="center"/>
            <w:hideMark/>
          </w:tcPr>
          <w:p w14:paraId="3B14814B" w14:textId="77777777" w:rsidR="00F86741" w:rsidRPr="007337C6" w:rsidRDefault="00F86741" w:rsidP="00F86741">
            <w:pPr>
              <w:spacing w:after="0" w:line="240" w:lineRule="auto"/>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Claims Provision</w:t>
            </w:r>
          </w:p>
        </w:tc>
        <w:tc>
          <w:tcPr>
            <w:tcW w:w="730" w:type="dxa"/>
            <w:tcBorders>
              <w:top w:val="nil"/>
              <w:left w:val="nil"/>
              <w:bottom w:val="single" w:sz="8" w:space="0" w:color="0070C0"/>
              <w:right w:val="nil"/>
            </w:tcBorders>
            <w:shd w:val="clear" w:color="auto" w:fill="auto"/>
            <w:noWrap/>
            <w:vAlign w:val="bottom"/>
            <w:hideMark/>
          </w:tcPr>
          <w:p w14:paraId="1CB0E5C7"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2,315</w:t>
            </w:r>
          </w:p>
        </w:tc>
        <w:tc>
          <w:tcPr>
            <w:tcW w:w="955" w:type="dxa"/>
            <w:tcBorders>
              <w:top w:val="nil"/>
              <w:left w:val="nil"/>
              <w:bottom w:val="single" w:sz="8" w:space="0" w:color="0070C0"/>
              <w:right w:val="nil"/>
            </w:tcBorders>
            <w:shd w:val="clear" w:color="auto" w:fill="auto"/>
            <w:noWrap/>
            <w:vAlign w:val="bottom"/>
            <w:hideMark/>
          </w:tcPr>
          <w:p w14:paraId="496BBA5D"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32</w:t>
            </w:r>
          </w:p>
        </w:tc>
        <w:tc>
          <w:tcPr>
            <w:tcW w:w="922" w:type="dxa"/>
            <w:tcBorders>
              <w:top w:val="nil"/>
              <w:left w:val="nil"/>
              <w:bottom w:val="single" w:sz="8" w:space="0" w:color="0070C0"/>
              <w:right w:val="nil"/>
            </w:tcBorders>
            <w:shd w:val="clear" w:color="auto" w:fill="auto"/>
            <w:noWrap/>
            <w:vAlign w:val="bottom"/>
            <w:hideMark/>
          </w:tcPr>
          <w:p w14:paraId="44D96F08"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63</w:t>
            </w:r>
          </w:p>
        </w:tc>
        <w:tc>
          <w:tcPr>
            <w:tcW w:w="807" w:type="dxa"/>
            <w:tcBorders>
              <w:top w:val="nil"/>
              <w:left w:val="nil"/>
              <w:bottom w:val="single" w:sz="8" w:space="0" w:color="0070C0"/>
              <w:right w:val="nil"/>
            </w:tcBorders>
            <w:shd w:val="clear" w:color="auto" w:fill="auto"/>
            <w:noWrap/>
            <w:vAlign w:val="bottom"/>
            <w:hideMark/>
          </w:tcPr>
          <w:p w14:paraId="6485594D"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31,361</w:t>
            </w:r>
          </w:p>
        </w:tc>
        <w:tc>
          <w:tcPr>
            <w:tcW w:w="807" w:type="dxa"/>
            <w:tcBorders>
              <w:top w:val="nil"/>
              <w:left w:val="single" w:sz="8" w:space="0" w:color="0070C0"/>
              <w:bottom w:val="single" w:sz="8" w:space="0" w:color="0070C0"/>
              <w:right w:val="single" w:sz="8" w:space="0" w:color="0070C0"/>
            </w:tcBorders>
            <w:shd w:val="clear" w:color="auto" w:fill="auto"/>
            <w:noWrap/>
            <w:vAlign w:val="bottom"/>
            <w:hideMark/>
          </w:tcPr>
          <w:p w14:paraId="6ABFBF2E"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33,772</w:t>
            </w:r>
          </w:p>
        </w:tc>
        <w:tc>
          <w:tcPr>
            <w:tcW w:w="807" w:type="dxa"/>
            <w:tcBorders>
              <w:top w:val="nil"/>
              <w:left w:val="nil"/>
              <w:bottom w:val="single" w:sz="8" w:space="0" w:color="0070C0"/>
              <w:right w:val="nil"/>
            </w:tcBorders>
            <w:shd w:val="clear" w:color="auto" w:fill="auto"/>
            <w:noWrap/>
            <w:vAlign w:val="bottom"/>
            <w:hideMark/>
          </w:tcPr>
          <w:p w14:paraId="59162A3E"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2,315</w:t>
            </w:r>
          </w:p>
        </w:tc>
        <w:tc>
          <w:tcPr>
            <w:tcW w:w="955" w:type="dxa"/>
            <w:tcBorders>
              <w:top w:val="nil"/>
              <w:left w:val="nil"/>
              <w:bottom w:val="single" w:sz="8" w:space="0" w:color="0070C0"/>
              <w:right w:val="nil"/>
            </w:tcBorders>
            <w:shd w:val="clear" w:color="auto" w:fill="auto"/>
            <w:noWrap/>
            <w:vAlign w:val="bottom"/>
            <w:hideMark/>
          </w:tcPr>
          <w:p w14:paraId="425F60E5"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32</w:t>
            </w:r>
          </w:p>
        </w:tc>
        <w:tc>
          <w:tcPr>
            <w:tcW w:w="922" w:type="dxa"/>
            <w:tcBorders>
              <w:top w:val="nil"/>
              <w:left w:val="nil"/>
              <w:bottom w:val="single" w:sz="8" w:space="0" w:color="0070C0"/>
              <w:right w:val="nil"/>
            </w:tcBorders>
            <w:shd w:val="clear" w:color="auto" w:fill="auto"/>
            <w:noWrap/>
            <w:vAlign w:val="bottom"/>
            <w:hideMark/>
          </w:tcPr>
          <w:p w14:paraId="6014F8E5"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63</w:t>
            </w:r>
          </w:p>
        </w:tc>
        <w:tc>
          <w:tcPr>
            <w:tcW w:w="724" w:type="dxa"/>
            <w:tcBorders>
              <w:top w:val="nil"/>
              <w:left w:val="nil"/>
              <w:bottom w:val="single" w:sz="8" w:space="0" w:color="0070C0"/>
              <w:right w:val="nil"/>
            </w:tcBorders>
            <w:shd w:val="clear" w:color="auto" w:fill="auto"/>
            <w:noWrap/>
            <w:vAlign w:val="bottom"/>
            <w:hideMark/>
          </w:tcPr>
          <w:p w14:paraId="1F9D62E1"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0</w:t>
            </w:r>
          </w:p>
        </w:tc>
        <w:tc>
          <w:tcPr>
            <w:tcW w:w="807" w:type="dxa"/>
            <w:tcBorders>
              <w:top w:val="nil"/>
              <w:left w:val="single" w:sz="8" w:space="0" w:color="0070C0"/>
              <w:bottom w:val="single" w:sz="8" w:space="0" w:color="0070C0"/>
              <w:right w:val="single" w:sz="8" w:space="0" w:color="0070C0"/>
            </w:tcBorders>
            <w:shd w:val="clear" w:color="auto" w:fill="auto"/>
            <w:noWrap/>
            <w:vAlign w:val="bottom"/>
            <w:hideMark/>
          </w:tcPr>
          <w:p w14:paraId="73E7049D"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2,411</w:t>
            </w:r>
          </w:p>
        </w:tc>
      </w:tr>
      <w:tr w:rsidR="00F86741" w:rsidRPr="007337C6" w14:paraId="3FB4E3BD" w14:textId="77777777" w:rsidTr="001E2B2B">
        <w:trPr>
          <w:trHeight w:val="276"/>
        </w:trPr>
        <w:tc>
          <w:tcPr>
            <w:tcW w:w="1485" w:type="dxa"/>
            <w:tcBorders>
              <w:top w:val="nil"/>
              <w:left w:val="single" w:sz="8" w:space="0" w:color="0070C0"/>
              <w:bottom w:val="single" w:sz="8" w:space="0" w:color="0070C0"/>
              <w:right w:val="single" w:sz="8" w:space="0" w:color="0070C0"/>
            </w:tcBorders>
            <w:shd w:val="clear" w:color="auto" w:fill="auto"/>
            <w:noWrap/>
            <w:vAlign w:val="center"/>
            <w:hideMark/>
          </w:tcPr>
          <w:p w14:paraId="69E6F114" w14:textId="77777777" w:rsidR="00F86741" w:rsidRPr="007337C6" w:rsidRDefault="00F86741" w:rsidP="00F86741">
            <w:pPr>
              <w:spacing w:after="0" w:line="240" w:lineRule="auto"/>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Premium Provision</w:t>
            </w:r>
          </w:p>
        </w:tc>
        <w:tc>
          <w:tcPr>
            <w:tcW w:w="730" w:type="dxa"/>
            <w:tcBorders>
              <w:top w:val="nil"/>
              <w:left w:val="nil"/>
              <w:bottom w:val="single" w:sz="8" w:space="0" w:color="0070C0"/>
              <w:right w:val="nil"/>
            </w:tcBorders>
            <w:shd w:val="clear" w:color="auto" w:fill="auto"/>
            <w:noWrap/>
            <w:vAlign w:val="bottom"/>
            <w:hideMark/>
          </w:tcPr>
          <w:p w14:paraId="5BBB8BCB"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30,511</w:t>
            </w:r>
          </w:p>
        </w:tc>
        <w:tc>
          <w:tcPr>
            <w:tcW w:w="955" w:type="dxa"/>
            <w:tcBorders>
              <w:top w:val="nil"/>
              <w:left w:val="nil"/>
              <w:bottom w:val="single" w:sz="8" w:space="0" w:color="0070C0"/>
              <w:right w:val="nil"/>
            </w:tcBorders>
            <w:shd w:val="clear" w:color="auto" w:fill="auto"/>
            <w:noWrap/>
            <w:vAlign w:val="bottom"/>
            <w:hideMark/>
          </w:tcPr>
          <w:p w14:paraId="44EED5E5"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265</w:t>
            </w:r>
          </w:p>
        </w:tc>
        <w:tc>
          <w:tcPr>
            <w:tcW w:w="922" w:type="dxa"/>
            <w:tcBorders>
              <w:top w:val="nil"/>
              <w:left w:val="nil"/>
              <w:bottom w:val="single" w:sz="8" w:space="0" w:color="0070C0"/>
              <w:right w:val="nil"/>
            </w:tcBorders>
            <w:shd w:val="clear" w:color="auto" w:fill="auto"/>
            <w:noWrap/>
            <w:vAlign w:val="bottom"/>
            <w:hideMark/>
          </w:tcPr>
          <w:p w14:paraId="1990824B"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279</w:t>
            </w:r>
          </w:p>
        </w:tc>
        <w:tc>
          <w:tcPr>
            <w:tcW w:w="807" w:type="dxa"/>
            <w:tcBorders>
              <w:top w:val="nil"/>
              <w:left w:val="nil"/>
              <w:bottom w:val="single" w:sz="8" w:space="0" w:color="0070C0"/>
              <w:right w:val="nil"/>
            </w:tcBorders>
            <w:shd w:val="clear" w:color="auto" w:fill="auto"/>
            <w:noWrap/>
            <w:vAlign w:val="bottom"/>
            <w:hideMark/>
          </w:tcPr>
          <w:p w14:paraId="57E33164"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35,166</w:t>
            </w:r>
          </w:p>
        </w:tc>
        <w:tc>
          <w:tcPr>
            <w:tcW w:w="807" w:type="dxa"/>
            <w:tcBorders>
              <w:top w:val="nil"/>
              <w:left w:val="single" w:sz="8" w:space="0" w:color="0070C0"/>
              <w:bottom w:val="single" w:sz="8" w:space="0" w:color="0070C0"/>
              <w:right w:val="single" w:sz="8" w:space="0" w:color="0070C0"/>
            </w:tcBorders>
            <w:shd w:val="clear" w:color="auto" w:fill="auto"/>
            <w:noWrap/>
            <w:vAlign w:val="bottom"/>
            <w:hideMark/>
          </w:tcPr>
          <w:p w14:paraId="41EAA15E"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66,220</w:t>
            </w:r>
          </w:p>
        </w:tc>
        <w:tc>
          <w:tcPr>
            <w:tcW w:w="807" w:type="dxa"/>
            <w:tcBorders>
              <w:top w:val="nil"/>
              <w:left w:val="nil"/>
              <w:bottom w:val="single" w:sz="8" w:space="0" w:color="0070C0"/>
              <w:right w:val="nil"/>
            </w:tcBorders>
            <w:shd w:val="clear" w:color="auto" w:fill="auto"/>
            <w:noWrap/>
            <w:vAlign w:val="bottom"/>
            <w:hideMark/>
          </w:tcPr>
          <w:p w14:paraId="613D7D65"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30,511</w:t>
            </w:r>
          </w:p>
        </w:tc>
        <w:tc>
          <w:tcPr>
            <w:tcW w:w="955" w:type="dxa"/>
            <w:tcBorders>
              <w:top w:val="nil"/>
              <w:left w:val="nil"/>
              <w:bottom w:val="single" w:sz="8" w:space="0" w:color="0070C0"/>
              <w:right w:val="nil"/>
            </w:tcBorders>
            <w:shd w:val="clear" w:color="auto" w:fill="auto"/>
            <w:noWrap/>
            <w:vAlign w:val="bottom"/>
            <w:hideMark/>
          </w:tcPr>
          <w:p w14:paraId="0F007B43"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265</w:t>
            </w:r>
          </w:p>
        </w:tc>
        <w:tc>
          <w:tcPr>
            <w:tcW w:w="922" w:type="dxa"/>
            <w:tcBorders>
              <w:top w:val="nil"/>
              <w:left w:val="nil"/>
              <w:bottom w:val="single" w:sz="8" w:space="0" w:color="0070C0"/>
              <w:right w:val="nil"/>
            </w:tcBorders>
            <w:shd w:val="clear" w:color="auto" w:fill="auto"/>
            <w:noWrap/>
            <w:vAlign w:val="bottom"/>
            <w:hideMark/>
          </w:tcPr>
          <w:p w14:paraId="20857E93"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279</w:t>
            </w:r>
          </w:p>
        </w:tc>
        <w:tc>
          <w:tcPr>
            <w:tcW w:w="724" w:type="dxa"/>
            <w:tcBorders>
              <w:top w:val="nil"/>
              <w:left w:val="nil"/>
              <w:bottom w:val="single" w:sz="8" w:space="0" w:color="0070C0"/>
              <w:right w:val="nil"/>
            </w:tcBorders>
            <w:shd w:val="clear" w:color="auto" w:fill="auto"/>
            <w:noWrap/>
            <w:vAlign w:val="bottom"/>
            <w:hideMark/>
          </w:tcPr>
          <w:p w14:paraId="3C55A0F3"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0</w:t>
            </w:r>
          </w:p>
        </w:tc>
        <w:tc>
          <w:tcPr>
            <w:tcW w:w="807" w:type="dxa"/>
            <w:tcBorders>
              <w:top w:val="nil"/>
              <w:left w:val="single" w:sz="8" w:space="0" w:color="0070C0"/>
              <w:bottom w:val="single" w:sz="8" w:space="0" w:color="0070C0"/>
              <w:right w:val="single" w:sz="8" w:space="0" w:color="0070C0"/>
            </w:tcBorders>
            <w:shd w:val="clear" w:color="auto" w:fill="auto"/>
            <w:noWrap/>
            <w:vAlign w:val="bottom"/>
            <w:hideMark/>
          </w:tcPr>
          <w:p w14:paraId="3C0C520F"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31,054</w:t>
            </w:r>
          </w:p>
        </w:tc>
      </w:tr>
      <w:tr w:rsidR="00F86741" w:rsidRPr="007337C6" w14:paraId="3EB79142" w14:textId="77777777" w:rsidTr="001E2B2B">
        <w:trPr>
          <w:trHeight w:val="266"/>
        </w:trPr>
        <w:tc>
          <w:tcPr>
            <w:tcW w:w="1485" w:type="dxa"/>
            <w:tcBorders>
              <w:top w:val="nil"/>
              <w:left w:val="single" w:sz="8" w:space="0" w:color="0070C0"/>
              <w:bottom w:val="single" w:sz="8" w:space="0" w:color="0070C0"/>
              <w:right w:val="single" w:sz="8" w:space="0" w:color="0070C0"/>
            </w:tcBorders>
            <w:shd w:val="clear" w:color="auto" w:fill="auto"/>
            <w:noWrap/>
            <w:vAlign w:val="center"/>
            <w:hideMark/>
          </w:tcPr>
          <w:p w14:paraId="19919EC8" w14:textId="77777777" w:rsidR="00F86741" w:rsidRPr="007337C6" w:rsidRDefault="00F86741" w:rsidP="00F86741">
            <w:pPr>
              <w:spacing w:after="0" w:line="240" w:lineRule="auto"/>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Total</w:t>
            </w:r>
          </w:p>
        </w:tc>
        <w:tc>
          <w:tcPr>
            <w:tcW w:w="730" w:type="dxa"/>
            <w:tcBorders>
              <w:top w:val="nil"/>
              <w:left w:val="nil"/>
              <w:bottom w:val="single" w:sz="8" w:space="0" w:color="0070C0"/>
              <w:right w:val="nil"/>
            </w:tcBorders>
            <w:shd w:val="clear" w:color="auto" w:fill="auto"/>
            <w:noWrap/>
            <w:vAlign w:val="bottom"/>
            <w:hideMark/>
          </w:tcPr>
          <w:p w14:paraId="02851F53"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32,826</w:t>
            </w:r>
          </w:p>
        </w:tc>
        <w:tc>
          <w:tcPr>
            <w:tcW w:w="955" w:type="dxa"/>
            <w:tcBorders>
              <w:top w:val="nil"/>
              <w:left w:val="nil"/>
              <w:bottom w:val="single" w:sz="8" w:space="0" w:color="0070C0"/>
              <w:right w:val="nil"/>
            </w:tcBorders>
            <w:shd w:val="clear" w:color="auto" w:fill="auto"/>
            <w:noWrap/>
            <w:vAlign w:val="bottom"/>
            <w:hideMark/>
          </w:tcPr>
          <w:p w14:paraId="480F5D43"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297</w:t>
            </w:r>
          </w:p>
        </w:tc>
        <w:tc>
          <w:tcPr>
            <w:tcW w:w="922" w:type="dxa"/>
            <w:tcBorders>
              <w:top w:val="nil"/>
              <w:left w:val="nil"/>
              <w:bottom w:val="single" w:sz="8" w:space="0" w:color="0070C0"/>
              <w:right w:val="nil"/>
            </w:tcBorders>
            <w:shd w:val="clear" w:color="auto" w:fill="auto"/>
            <w:noWrap/>
            <w:vAlign w:val="bottom"/>
            <w:hideMark/>
          </w:tcPr>
          <w:p w14:paraId="1079B055"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342</w:t>
            </w:r>
          </w:p>
        </w:tc>
        <w:tc>
          <w:tcPr>
            <w:tcW w:w="807" w:type="dxa"/>
            <w:tcBorders>
              <w:top w:val="nil"/>
              <w:left w:val="nil"/>
              <w:bottom w:val="single" w:sz="8" w:space="0" w:color="0070C0"/>
              <w:right w:val="nil"/>
            </w:tcBorders>
            <w:shd w:val="clear" w:color="auto" w:fill="auto"/>
            <w:noWrap/>
            <w:vAlign w:val="bottom"/>
            <w:hideMark/>
          </w:tcPr>
          <w:p w14:paraId="276E60F5"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66,527</w:t>
            </w:r>
          </w:p>
        </w:tc>
        <w:tc>
          <w:tcPr>
            <w:tcW w:w="807" w:type="dxa"/>
            <w:tcBorders>
              <w:top w:val="nil"/>
              <w:left w:val="single" w:sz="8" w:space="0" w:color="0070C0"/>
              <w:bottom w:val="single" w:sz="8" w:space="0" w:color="0070C0"/>
              <w:right w:val="single" w:sz="8" w:space="0" w:color="0070C0"/>
            </w:tcBorders>
            <w:shd w:val="clear" w:color="auto" w:fill="auto"/>
            <w:noWrap/>
            <w:vAlign w:val="bottom"/>
            <w:hideMark/>
          </w:tcPr>
          <w:p w14:paraId="508A53B2"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99,992</w:t>
            </w:r>
          </w:p>
        </w:tc>
        <w:tc>
          <w:tcPr>
            <w:tcW w:w="807" w:type="dxa"/>
            <w:tcBorders>
              <w:top w:val="nil"/>
              <w:left w:val="nil"/>
              <w:bottom w:val="single" w:sz="8" w:space="0" w:color="0070C0"/>
              <w:right w:val="nil"/>
            </w:tcBorders>
            <w:shd w:val="clear" w:color="auto" w:fill="auto"/>
            <w:noWrap/>
            <w:vAlign w:val="bottom"/>
            <w:hideMark/>
          </w:tcPr>
          <w:p w14:paraId="65B9B272"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32,826</w:t>
            </w:r>
          </w:p>
        </w:tc>
        <w:tc>
          <w:tcPr>
            <w:tcW w:w="955" w:type="dxa"/>
            <w:tcBorders>
              <w:top w:val="nil"/>
              <w:left w:val="nil"/>
              <w:bottom w:val="single" w:sz="8" w:space="0" w:color="0070C0"/>
              <w:right w:val="nil"/>
            </w:tcBorders>
            <w:shd w:val="clear" w:color="auto" w:fill="auto"/>
            <w:noWrap/>
            <w:vAlign w:val="bottom"/>
            <w:hideMark/>
          </w:tcPr>
          <w:p w14:paraId="1FFFB700"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297</w:t>
            </w:r>
          </w:p>
        </w:tc>
        <w:tc>
          <w:tcPr>
            <w:tcW w:w="922" w:type="dxa"/>
            <w:tcBorders>
              <w:top w:val="nil"/>
              <w:left w:val="nil"/>
              <w:bottom w:val="single" w:sz="8" w:space="0" w:color="0070C0"/>
              <w:right w:val="nil"/>
            </w:tcBorders>
            <w:shd w:val="clear" w:color="auto" w:fill="auto"/>
            <w:noWrap/>
            <w:vAlign w:val="bottom"/>
            <w:hideMark/>
          </w:tcPr>
          <w:p w14:paraId="301C50F2"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342</w:t>
            </w:r>
          </w:p>
        </w:tc>
        <w:tc>
          <w:tcPr>
            <w:tcW w:w="724" w:type="dxa"/>
            <w:tcBorders>
              <w:top w:val="nil"/>
              <w:left w:val="nil"/>
              <w:bottom w:val="single" w:sz="8" w:space="0" w:color="0070C0"/>
              <w:right w:val="nil"/>
            </w:tcBorders>
            <w:shd w:val="clear" w:color="auto" w:fill="auto"/>
            <w:noWrap/>
            <w:vAlign w:val="bottom"/>
            <w:hideMark/>
          </w:tcPr>
          <w:p w14:paraId="495A1481"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0</w:t>
            </w:r>
          </w:p>
        </w:tc>
        <w:tc>
          <w:tcPr>
            <w:tcW w:w="807" w:type="dxa"/>
            <w:tcBorders>
              <w:top w:val="nil"/>
              <w:left w:val="single" w:sz="8" w:space="0" w:color="0070C0"/>
              <w:bottom w:val="single" w:sz="8" w:space="0" w:color="0070C0"/>
              <w:right w:val="single" w:sz="8" w:space="0" w:color="0070C0"/>
            </w:tcBorders>
            <w:shd w:val="clear" w:color="auto" w:fill="auto"/>
            <w:noWrap/>
            <w:vAlign w:val="bottom"/>
            <w:hideMark/>
          </w:tcPr>
          <w:p w14:paraId="1FD1625F"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33,465</w:t>
            </w:r>
          </w:p>
        </w:tc>
      </w:tr>
      <w:tr w:rsidR="00F86741" w:rsidRPr="007337C6" w14:paraId="42FC262F" w14:textId="77777777" w:rsidTr="00F86741">
        <w:trPr>
          <w:trHeight w:val="138"/>
        </w:trPr>
        <w:tc>
          <w:tcPr>
            <w:tcW w:w="1485" w:type="dxa"/>
            <w:tcBorders>
              <w:top w:val="nil"/>
              <w:left w:val="nil"/>
              <w:bottom w:val="nil"/>
              <w:right w:val="nil"/>
            </w:tcBorders>
            <w:shd w:val="clear" w:color="auto" w:fill="auto"/>
            <w:noWrap/>
            <w:vAlign w:val="center"/>
            <w:hideMark/>
          </w:tcPr>
          <w:p w14:paraId="234C540A" w14:textId="77777777" w:rsidR="00F86741" w:rsidRPr="007337C6" w:rsidRDefault="00F86741" w:rsidP="00F86741">
            <w:pPr>
              <w:spacing w:after="0" w:line="240" w:lineRule="auto"/>
              <w:jc w:val="right"/>
              <w:rPr>
                <w:rFonts w:ascii="Trebuchet MS" w:eastAsia="Times New Roman" w:hAnsi="Trebuchet MS" w:cs="Times New Roman"/>
                <w:color w:val="000000"/>
                <w:sz w:val="16"/>
                <w:szCs w:val="16"/>
                <w:lang w:eastAsia="en-GB"/>
              </w:rPr>
            </w:pPr>
          </w:p>
        </w:tc>
        <w:tc>
          <w:tcPr>
            <w:tcW w:w="730" w:type="dxa"/>
            <w:tcBorders>
              <w:top w:val="nil"/>
              <w:left w:val="nil"/>
              <w:bottom w:val="nil"/>
              <w:right w:val="nil"/>
            </w:tcBorders>
            <w:shd w:val="clear" w:color="auto" w:fill="auto"/>
            <w:noWrap/>
            <w:vAlign w:val="center"/>
            <w:hideMark/>
          </w:tcPr>
          <w:p w14:paraId="4240CCEA" w14:textId="77777777" w:rsidR="00F86741" w:rsidRPr="007337C6" w:rsidRDefault="00F86741" w:rsidP="00F86741">
            <w:pPr>
              <w:spacing w:after="0" w:line="240" w:lineRule="auto"/>
              <w:rPr>
                <w:rFonts w:ascii="Trebuchet MS" w:eastAsia="Times New Roman" w:hAnsi="Trebuchet MS" w:cs="Times New Roman"/>
                <w:sz w:val="16"/>
                <w:szCs w:val="16"/>
                <w:lang w:eastAsia="en-GB"/>
              </w:rPr>
            </w:pPr>
          </w:p>
        </w:tc>
        <w:tc>
          <w:tcPr>
            <w:tcW w:w="955" w:type="dxa"/>
            <w:tcBorders>
              <w:top w:val="nil"/>
              <w:left w:val="nil"/>
              <w:bottom w:val="nil"/>
              <w:right w:val="nil"/>
            </w:tcBorders>
            <w:shd w:val="clear" w:color="auto" w:fill="auto"/>
            <w:noWrap/>
            <w:vAlign w:val="center"/>
            <w:hideMark/>
          </w:tcPr>
          <w:p w14:paraId="4B01F936" w14:textId="77777777" w:rsidR="00F86741" w:rsidRPr="007337C6" w:rsidRDefault="00F86741" w:rsidP="00F86741">
            <w:pPr>
              <w:spacing w:after="0" w:line="240" w:lineRule="auto"/>
              <w:rPr>
                <w:rFonts w:ascii="Trebuchet MS" w:eastAsia="Times New Roman" w:hAnsi="Trebuchet MS" w:cs="Times New Roman"/>
                <w:sz w:val="16"/>
                <w:szCs w:val="16"/>
                <w:lang w:eastAsia="en-GB"/>
              </w:rPr>
            </w:pPr>
          </w:p>
        </w:tc>
        <w:tc>
          <w:tcPr>
            <w:tcW w:w="922" w:type="dxa"/>
            <w:tcBorders>
              <w:top w:val="nil"/>
              <w:left w:val="nil"/>
              <w:bottom w:val="nil"/>
              <w:right w:val="nil"/>
            </w:tcBorders>
            <w:shd w:val="clear" w:color="auto" w:fill="auto"/>
            <w:noWrap/>
            <w:vAlign w:val="center"/>
            <w:hideMark/>
          </w:tcPr>
          <w:p w14:paraId="25C25C0B" w14:textId="77777777" w:rsidR="00F86741" w:rsidRPr="007337C6" w:rsidRDefault="00F86741" w:rsidP="00F86741">
            <w:pPr>
              <w:spacing w:after="0" w:line="240" w:lineRule="auto"/>
              <w:rPr>
                <w:rFonts w:ascii="Trebuchet MS" w:eastAsia="Times New Roman" w:hAnsi="Trebuchet MS" w:cs="Times New Roman"/>
                <w:sz w:val="16"/>
                <w:szCs w:val="16"/>
                <w:lang w:eastAsia="en-GB"/>
              </w:rPr>
            </w:pPr>
          </w:p>
        </w:tc>
        <w:tc>
          <w:tcPr>
            <w:tcW w:w="807" w:type="dxa"/>
            <w:tcBorders>
              <w:top w:val="nil"/>
              <w:left w:val="nil"/>
              <w:bottom w:val="nil"/>
              <w:right w:val="nil"/>
            </w:tcBorders>
            <w:shd w:val="clear" w:color="auto" w:fill="auto"/>
            <w:noWrap/>
            <w:vAlign w:val="center"/>
            <w:hideMark/>
          </w:tcPr>
          <w:p w14:paraId="2C51DA27" w14:textId="77777777" w:rsidR="00F86741" w:rsidRPr="007337C6" w:rsidRDefault="00F86741" w:rsidP="00F86741">
            <w:pPr>
              <w:spacing w:after="0" w:line="240" w:lineRule="auto"/>
              <w:rPr>
                <w:rFonts w:ascii="Trebuchet MS" w:eastAsia="Times New Roman" w:hAnsi="Trebuchet MS" w:cs="Times New Roman"/>
                <w:sz w:val="16"/>
                <w:szCs w:val="16"/>
                <w:lang w:eastAsia="en-GB"/>
              </w:rPr>
            </w:pPr>
          </w:p>
        </w:tc>
        <w:tc>
          <w:tcPr>
            <w:tcW w:w="807" w:type="dxa"/>
            <w:tcBorders>
              <w:top w:val="nil"/>
              <w:left w:val="nil"/>
              <w:bottom w:val="nil"/>
              <w:right w:val="nil"/>
            </w:tcBorders>
            <w:shd w:val="clear" w:color="auto" w:fill="auto"/>
            <w:noWrap/>
            <w:vAlign w:val="center"/>
            <w:hideMark/>
          </w:tcPr>
          <w:p w14:paraId="5B2AE0EF" w14:textId="77777777" w:rsidR="00F86741" w:rsidRPr="007337C6" w:rsidRDefault="00F86741" w:rsidP="00F86741">
            <w:pPr>
              <w:spacing w:after="0" w:line="240" w:lineRule="auto"/>
              <w:rPr>
                <w:rFonts w:ascii="Trebuchet MS" w:eastAsia="Times New Roman" w:hAnsi="Trebuchet MS" w:cs="Times New Roman"/>
                <w:sz w:val="16"/>
                <w:szCs w:val="16"/>
                <w:lang w:eastAsia="en-GB"/>
              </w:rPr>
            </w:pPr>
          </w:p>
        </w:tc>
        <w:tc>
          <w:tcPr>
            <w:tcW w:w="807" w:type="dxa"/>
            <w:tcBorders>
              <w:top w:val="nil"/>
              <w:left w:val="nil"/>
              <w:bottom w:val="nil"/>
              <w:right w:val="nil"/>
            </w:tcBorders>
            <w:shd w:val="clear" w:color="auto" w:fill="auto"/>
            <w:noWrap/>
            <w:vAlign w:val="center"/>
            <w:hideMark/>
          </w:tcPr>
          <w:p w14:paraId="170417B4" w14:textId="77777777" w:rsidR="00F86741" w:rsidRPr="007337C6" w:rsidRDefault="00F86741" w:rsidP="00F86741">
            <w:pPr>
              <w:spacing w:after="0" w:line="240" w:lineRule="auto"/>
              <w:rPr>
                <w:rFonts w:ascii="Trebuchet MS" w:eastAsia="Times New Roman" w:hAnsi="Trebuchet MS" w:cs="Times New Roman"/>
                <w:sz w:val="16"/>
                <w:szCs w:val="16"/>
                <w:lang w:eastAsia="en-GB"/>
              </w:rPr>
            </w:pPr>
          </w:p>
        </w:tc>
        <w:tc>
          <w:tcPr>
            <w:tcW w:w="955" w:type="dxa"/>
            <w:tcBorders>
              <w:top w:val="nil"/>
              <w:left w:val="nil"/>
              <w:bottom w:val="nil"/>
              <w:right w:val="nil"/>
            </w:tcBorders>
            <w:shd w:val="clear" w:color="auto" w:fill="auto"/>
            <w:noWrap/>
            <w:vAlign w:val="center"/>
            <w:hideMark/>
          </w:tcPr>
          <w:p w14:paraId="130E16EE" w14:textId="77777777" w:rsidR="00F86741" w:rsidRPr="007337C6" w:rsidRDefault="00F86741" w:rsidP="00F86741">
            <w:pPr>
              <w:spacing w:after="0" w:line="240" w:lineRule="auto"/>
              <w:rPr>
                <w:rFonts w:ascii="Trebuchet MS" w:eastAsia="Times New Roman" w:hAnsi="Trebuchet MS" w:cs="Times New Roman"/>
                <w:sz w:val="16"/>
                <w:szCs w:val="16"/>
                <w:lang w:eastAsia="en-GB"/>
              </w:rPr>
            </w:pPr>
          </w:p>
        </w:tc>
        <w:tc>
          <w:tcPr>
            <w:tcW w:w="922" w:type="dxa"/>
            <w:tcBorders>
              <w:top w:val="nil"/>
              <w:left w:val="nil"/>
              <w:bottom w:val="nil"/>
              <w:right w:val="nil"/>
            </w:tcBorders>
            <w:shd w:val="clear" w:color="auto" w:fill="auto"/>
            <w:noWrap/>
            <w:vAlign w:val="center"/>
            <w:hideMark/>
          </w:tcPr>
          <w:p w14:paraId="1E926754" w14:textId="77777777" w:rsidR="00F86741" w:rsidRPr="007337C6" w:rsidRDefault="00F86741" w:rsidP="00F86741">
            <w:pPr>
              <w:spacing w:after="0" w:line="240" w:lineRule="auto"/>
              <w:rPr>
                <w:rFonts w:ascii="Trebuchet MS" w:eastAsia="Times New Roman" w:hAnsi="Trebuchet MS" w:cs="Times New Roman"/>
                <w:sz w:val="16"/>
                <w:szCs w:val="16"/>
                <w:lang w:eastAsia="en-GB"/>
              </w:rPr>
            </w:pPr>
          </w:p>
        </w:tc>
        <w:tc>
          <w:tcPr>
            <w:tcW w:w="724" w:type="dxa"/>
            <w:tcBorders>
              <w:top w:val="nil"/>
              <w:left w:val="nil"/>
              <w:bottom w:val="nil"/>
              <w:right w:val="nil"/>
            </w:tcBorders>
            <w:shd w:val="clear" w:color="auto" w:fill="auto"/>
            <w:noWrap/>
            <w:vAlign w:val="center"/>
            <w:hideMark/>
          </w:tcPr>
          <w:p w14:paraId="7192C433" w14:textId="77777777" w:rsidR="00F86741" w:rsidRPr="007337C6" w:rsidRDefault="00F86741" w:rsidP="00F86741">
            <w:pPr>
              <w:spacing w:after="0" w:line="240" w:lineRule="auto"/>
              <w:rPr>
                <w:rFonts w:ascii="Trebuchet MS" w:eastAsia="Times New Roman" w:hAnsi="Trebuchet MS" w:cs="Times New Roman"/>
                <w:sz w:val="16"/>
                <w:szCs w:val="16"/>
                <w:lang w:eastAsia="en-GB"/>
              </w:rPr>
            </w:pPr>
          </w:p>
        </w:tc>
        <w:tc>
          <w:tcPr>
            <w:tcW w:w="807" w:type="dxa"/>
            <w:tcBorders>
              <w:top w:val="nil"/>
              <w:left w:val="nil"/>
              <w:bottom w:val="nil"/>
              <w:right w:val="nil"/>
            </w:tcBorders>
            <w:shd w:val="clear" w:color="auto" w:fill="auto"/>
            <w:noWrap/>
            <w:vAlign w:val="center"/>
            <w:hideMark/>
          </w:tcPr>
          <w:p w14:paraId="267DCBB2" w14:textId="77777777" w:rsidR="00F86741" w:rsidRPr="007337C6" w:rsidRDefault="00F86741" w:rsidP="00F86741">
            <w:pPr>
              <w:spacing w:after="0" w:line="240" w:lineRule="auto"/>
              <w:rPr>
                <w:rFonts w:ascii="Trebuchet MS" w:eastAsia="Times New Roman" w:hAnsi="Trebuchet MS" w:cs="Times New Roman"/>
                <w:sz w:val="16"/>
                <w:szCs w:val="16"/>
                <w:lang w:eastAsia="en-GB"/>
              </w:rPr>
            </w:pPr>
          </w:p>
        </w:tc>
      </w:tr>
      <w:tr w:rsidR="00F86741" w:rsidRPr="007337C6" w14:paraId="7766E562" w14:textId="77777777" w:rsidTr="00F86741">
        <w:trPr>
          <w:trHeight w:val="138"/>
        </w:trPr>
        <w:tc>
          <w:tcPr>
            <w:tcW w:w="1485" w:type="dxa"/>
            <w:tcBorders>
              <w:top w:val="nil"/>
              <w:left w:val="nil"/>
              <w:bottom w:val="nil"/>
              <w:right w:val="nil"/>
            </w:tcBorders>
            <w:shd w:val="clear" w:color="auto" w:fill="auto"/>
            <w:noWrap/>
            <w:vAlign w:val="bottom"/>
            <w:hideMark/>
          </w:tcPr>
          <w:p w14:paraId="5E51AD98" w14:textId="77777777" w:rsidR="00F86741" w:rsidRPr="007337C6" w:rsidRDefault="00F86741" w:rsidP="00F86741">
            <w:pPr>
              <w:spacing w:after="0" w:line="240" w:lineRule="auto"/>
              <w:rPr>
                <w:rFonts w:ascii="Trebuchet MS" w:eastAsia="Times New Roman" w:hAnsi="Trebuchet MS" w:cs="Times New Roman"/>
                <w:sz w:val="16"/>
                <w:szCs w:val="16"/>
                <w:lang w:eastAsia="en-GB"/>
              </w:rPr>
            </w:pPr>
          </w:p>
        </w:tc>
        <w:tc>
          <w:tcPr>
            <w:tcW w:w="730" w:type="dxa"/>
            <w:tcBorders>
              <w:top w:val="nil"/>
              <w:left w:val="nil"/>
              <w:bottom w:val="nil"/>
              <w:right w:val="nil"/>
            </w:tcBorders>
            <w:shd w:val="clear" w:color="auto" w:fill="auto"/>
            <w:noWrap/>
            <w:vAlign w:val="bottom"/>
            <w:hideMark/>
          </w:tcPr>
          <w:p w14:paraId="7E7D75DC" w14:textId="77777777" w:rsidR="00F86741" w:rsidRPr="007337C6" w:rsidRDefault="00F86741" w:rsidP="00F86741">
            <w:pPr>
              <w:spacing w:after="0" w:line="240" w:lineRule="auto"/>
              <w:rPr>
                <w:rFonts w:ascii="Trebuchet MS" w:eastAsia="Times New Roman" w:hAnsi="Trebuchet MS" w:cs="Times New Roman"/>
                <w:sz w:val="16"/>
                <w:szCs w:val="16"/>
                <w:lang w:eastAsia="en-GB"/>
              </w:rPr>
            </w:pPr>
          </w:p>
        </w:tc>
        <w:tc>
          <w:tcPr>
            <w:tcW w:w="955" w:type="dxa"/>
            <w:tcBorders>
              <w:top w:val="nil"/>
              <w:left w:val="nil"/>
              <w:bottom w:val="nil"/>
              <w:right w:val="nil"/>
            </w:tcBorders>
            <w:shd w:val="clear" w:color="auto" w:fill="auto"/>
            <w:noWrap/>
            <w:vAlign w:val="bottom"/>
            <w:hideMark/>
          </w:tcPr>
          <w:p w14:paraId="2E1F6A5D" w14:textId="77777777" w:rsidR="00F86741" w:rsidRPr="007337C6" w:rsidRDefault="00F86741" w:rsidP="00F86741">
            <w:pPr>
              <w:spacing w:after="0" w:line="240" w:lineRule="auto"/>
              <w:rPr>
                <w:rFonts w:ascii="Trebuchet MS" w:eastAsia="Times New Roman" w:hAnsi="Trebuchet MS" w:cs="Times New Roman"/>
                <w:sz w:val="16"/>
                <w:szCs w:val="16"/>
                <w:lang w:eastAsia="en-GB"/>
              </w:rPr>
            </w:pPr>
          </w:p>
        </w:tc>
        <w:tc>
          <w:tcPr>
            <w:tcW w:w="922" w:type="dxa"/>
            <w:tcBorders>
              <w:top w:val="nil"/>
              <w:left w:val="nil"/>
              <w:bottom w:val="nil"/>
              <w:right w:val="nil"/>
            </w:tcBorders>
            <w:shd w:val="clear" w:color="auto" w:fill="auto"/>
            <w:noWrap/>
            <w:vAlign w:val="bottom"/>
            <w:hideMark/>
          </w:tcPr>
          <w:p w14:paraId="06404BEE" w14:textId="77777777" w:rsidR="00F86741" w:rsidRPr="007337C6" w:rsidRDefault="00F86741" w:rsidP="00F86741">
            <w:pPr>
              <w:spacing w:after="0" w:line="240" w:lineRule="auto"/>
              <w:rPr>
                <w:rFonts w:ascii="Trebuchet MS" w:eastAsia="Times New Roman" w:hAnsi="Trebuchet MS" w:cs="Times New Roman"/>
                <w:sz w:val="16"/>
                <w:szCs w:val="16"/>
                <w:lang w:eastAsia="en-GB"/>
              </w:rPr>
            </w:pPr>
          </w:p>
        </w:tc>
        <w:tc>
          <w:tcPr>
            <w:tcW w:w="807" w:type="dxa"/>
            <w:tcBorders>
              <w:top w:val="nil"/>
              <w:left w:val="nil"/>
              <w:bottom w:val="nil"/>
              <w:right w:val="nil"/>
            </w:tcBorders>
            <w:shd w:val="clear" w:color="auto" w:fill="auto"/>
            <w:noWrap/>
            <w:vAlign w:val="bottom"/>
            <w:hideMark/>
          </w:tcPr>
          <w:p w14:paraId="6BAD8A47" w14:textId="77777777" w:rsidR="00F86741" w:rsidRPr="007337C6" w:rsidRDefault="00F86741" w:rsidP="00F86741">
            <w:pPr>
              <w:spacing w:after="0" w:line="240" w:lineRule="auto"/>
              <w:rPr>
                <w:rFonts w:ascii="Trebuchet MS" w:eastAsia="Times New Roman" w:hAnsi="Trebuchet MS" w:cs="Times New Roman"/>
                <w:sz w:val="16"/>
                <w:szCs w:val="16"/>
                <w:lang w:eastAsia="en-GB"/>
              </w:rPr>
            </w:pPr>
          </w:p>
        </w:tc>
        <w:tc>
          <w:tcPr>
            <w:tcW w:w="807" w:type="dxa"/>
            <w:tcBorders>
              <w:top w:val="nil"/>
              <w:left w:val="nil"/>
              <w:bottom w:val="nil"/>
              <w:right w:val="nil"/>
            </w:tcBorders>
            <w:shd w:val="clear" w:color="auto" w:fill="auto"/>
            <w:noWrap/>
            <w:vAlign w:val="bottom"/>
            <w:hideMark/>
          </w:tcPr>
          <w:p w14:paraId="7B9EB50F" w14:textId="77777777" w:rsidR="00F86741" w:rsidRPr="007337C6" w:rsidRDefault="00F86741" w:rsidP="00F86741">
            <w:pPr>
              <w:spacing w:after="0" w:line="240" w:lineRule="auto"/>
              <w:rPr>
                <w:rFonts w:ascii="Trebuchet MS" w:eastAsia="Times New Roman" w:hAnsi="Trebuchet MS" w:cs="Times New Roman"/>
                <w:sz w:val="16"/>
                <w:szCs w:val="16"/>
                <w:lang w:eastAsia="en-GB"/>
              </w:rPr>
            </w:pPr>
          </w:p>
        </w:tc>
        <w:tc>
          <w:tcPr>
            <w:tcW w:w="807" w:type="dxa"/>
            <w:tcBorders>
              <w:top w:val="nil"/>
              <w:left w:val="nil"/>
              <w:bottom w:val="nil"/>
              <w:right w:val="nil"/>
            </w:tcBorders>
            <w:shd w:val="clear" w:color="auto" w:fill="auto"/>
            <w:noWrap/>
            <w:vAlign w:val="bottom"/>
            <w:hideMark/>
          </w:tcPr>
          <w:p w14:paraId="1294F69D" w14:textId="77777777" w:rsidR="00F86741" w:rsidRPr="007337C6" w:rsidRDefault="00F86741" w:rsidP="00F86741">
            <w:pPr>
              <w:spacing w:after="0" w:line="240" w:lineRule="auto"/>
              <w:rPr>
                <w:rFonts w:ascii="Trebuchet MS" w:eastAsia="Times New Roman" w:hAnsi="Trebuchet MS" w:cs="Times New Roman"/>
                <w:sz w:val="16"/>
                <w:szCs w:val="16"/>
                <w:lang w:eastAsia="en-GB"/>
              </w:rPr>
            </w:pPr>
          </w:p>
        </w:tc>
        <w:tc>
          <w:tcPr>
            <w:tcW w:w="955" w:type="dxa"/>
            <w:tcBorders>
              <w:top w:val="nil"/>
              <w:left w:val="nil"/>
              <w:bottom w:val="nil"/>
              <w:right w:val="nil"/>
            </w:tcBorders>
            <w:shd w:val="clear" w:color="auto" w:fill="auto"/>
            <w:noWrap/>
            <w:vAlign w:val="bottom"/>
            <w:hideMark/>
          </w:tcPr>
          <w:p w14:paraId="77C5A9BE" w14:textId="77777777" w:rsidR="00F86741" w:rsidRPr="007337C6" w:rsidRDefault="00F86741" w:rsidP="00F86741">
            <w:pPr>
              <w:spacing w:after="0" w:line="240" w:lineRule="auto"/>
              <w:rPr>
                <w:rFonts w:ascii="Trebuchet MS" w:eastAsia="Times New Roman" w:hAnsi="Trebuchet MS" w:cs="Times New Roman"/>
                <w:sz w:val="16"/>
                <w:szCs w:val="16"/>
                <w:lang w:eastAsia="en-GB"/>
              </w:rPr>
            </w:pPr>
          </w:p>
        </w:tc>
        <w:tc>
          <w:tcPr>
            <w:tcW w:w="922" w:type="dxa"/>
            <w:tcBorders>
              <w:top w:val="nil"/>
              <w:left w:val="nil"/>
              <w:bottom w:val="nil"/>
              <w:right w:val="nil"/>
            </w:tcBorders>
            <w:shd w:val="clear" w:color="auto" w:fill="auto"/>
            <w:noWrap/>
            <w:vAlign w:val="bottom"/>
            <w:hideMark/>
          </w:tcPr>
          <w:p w14:paraId="750DCD84" w14:textId="77777777" w:rsidR="00F86741" w:rsidRPr="007337C6" w:rsidRDefault="00F86741" w:rsidP="00F86741">
            <w:pPr>
              <w:spacing w:after="0" w:line="240" w:lineRule="auto"/>
              <w:rPr>
                <w:rFonts w:ascii="Trebuchet MS" w:eastAsia="Times New Roman" w:hAnsi="Trebuchet MS" w:cs="Times New Roman"/>
                <w:sz w:val="16"/>
                <w:szCs w:val="16"/>
                <w:lang w:eastAsia="en-GB"/>
              </w:rPr>
            </w:pPr>
          </w:p>
        </w:tc>
        <w:tc>
          <w:tcPr>
            <w:tcW w:w="724" w:type="dxa"/>
            <w:tcBorders>
              <w:top w:val="nil"/>
              <w:left w:val="nil"/>
              <w:bottom w:val="nil"/>
              <w:right w:val="nil"/>
            </w:tcBorders>
            <w:shd w:val="clear" w:color="auto" w:fill="auto"/>
            <w:noWrap/>
            <w:vAlign w:val="bottom"/>
            <w:hideMark/>
          </w:tcPr>
          <w:p w14:paraId="2D922595" w14:textId="77777777" w:rsidR="00F86741" w:rsidRPr="007337C6" w:rsidRDefault="00F86741" w:rsidP="00F86741">
            <w:pPr>
              <w:spacing w:after="0" w:line="240" w:lineRule="auto"/>
              <w:rPr>
                <w:rFonts w:ascii="Trebuchet MS" w:eastAsia="Times New Roman" w:hAnsi="Trebuchet MS" w:cs="Times New Roman"/>
                <w:sz w:val="16"/>
                <w:szCs w:val="16"/>
                <w:lang w:eastAsia="en-GB"/>
              </w:rPr>
            </w:pPr>
          </w:p>
        </w:tc>
        <w:tc>
          <w:tcPr>
            <w:tcW w:w="807" w:type="dxa"/>
            <w:tcBorders>
              <w:top w:val="nil"/>
              <w:left w:val="nil"/>
              <w:bottom w:val="nil"/>
              <w:right w:val="nil"/>
            </w:tcBorders>
            <w:shd w:val="clear" w:color="auto" w:fill="auto"/>
            <w:noWrap/>
            <w:vAlign w:val="bottom"/>
            <w:hideMark/>
          </w:tcPr>
          <w:p w14:paraId="5AB89CDE" w14:textId="77777777" w:rsidR="00F86741" w:rsidRPr="007337C6" w:rsidRDefault="00F86741" w:rsidP="00F86741">
            <w:pPr>
              <w:spacing w:after="0" w:line="240" w:lineRule="auto"/>
              <w:rPr>
                <w:rFonts w:ascii="Trebuchet MS" w:eastAsia="Times New Roman" w:hAnsi="Trebuchet MS" w:cs="Times New Roman"/>
                <w:sz w:val="16"/>
                <w:szCs w:val="16"/>
                <w:lang w:eastAsia="en-GB"/>
              </w:rPr>
            </w:pPr>
          </w:p>
        </w:tc>
      </w:tr>
      <w:tr w:rsidR="00F86741" w:rsidRPr="007337C6" w14:paraId="4CE35A58" w14:textId="77777777" w:rsidTr="00F86741">
        <w:trPr>
          <w:trHeight w:val="276"/>
        </w:trPr>
        <w:tc>
          <w:tcPr>
            <w:tcW w:w="1485" w:type="dxa"/>
            <w:tcBorders>
              <w:top w:val="nil"/>
              <w:left w:val="nil"/>
              <w:bottom w:val="nil"/>
              <w:right w:val="nil"/>
            </w:tcBorders>
            <w:shd w:val="clear" w:color="auto" w:fill="auto"/>
            <w:noWrap/>
            <w:vAlign w:val="bottom"/>
            <w:hideMark/>
          </w:tcPr>
          <w:p w14:paraId="417AE0A7" w14:textId="77777777" w:rsidR="00F86741" w:rsidRPr="007337C6" w:rsidRDefault="00F86741" w:rsidP="00F86741">
            <w:pPr>
              <w:spacing w:after="0" w:line="240" w:lineRule="auto"/>
              <w:rPr>
                <w:rFonts w:ascii="Trebuchet MS" w:eastAsia="Times New Roman" w:hAnsi="Trebuchet MS" w:cs="Times New Roman"/>
                <w:sz w:val="16"/>
                <w:szCs w:val="16"/>
                <w:lang w:eastAsia="en-GB"/>
              </w:rPr>
            </w:pPr>
          </w:p>
        </w:tc>
        <w:tc>
          <w:tcPr>
            <w:tcW w:w="3415" w:type="dxa"/>
            <w:gridSpan w:val="4"/>
            <w:tcBorders>
              <w:top w:val="single" w:sz="8" w:space="0" w:color="0070C0"/>
              <w:left w:val="single" w:sz="8" w:space="0" w:color="0070C0"/>
              <w:bottom w:val="single" w:sz="8" w:space="0" w:color="0070C0"/>
              <w:right w:val="nil"/>
            </w:tcBorders>
            <w:shd w:val="clear" w:color="auto" w:fill="auto"/>
            <w:noWrap/>
            <w:vAlign w:val="center"/>
            <w:hideMark/>
          </w:tcPr>
          <w:p w14:paraId="220950D8" w14:textId="77777777" w:rsidR="00F86741" w:rsidRPr="006C303A" w:rsidRDefault="00F86741" w:rsidP="00F86741">
            <w:pPr>
              <w:spacing w:after="0" w:line="240" w:lineRule="auto"/>
              <w:jc w:val="center"/>
              <w:rPr>
                <w:rFonts w:ascii="Trebuchet MS" w:eastAsia="Times New Roman" w:hAnsi="Trebuchet MS" w:cs="Times New Roman"/>
                <w:b/>
                <w:bCs/>
                <w:color w:val="0070C0"/>
                <w:sz w:val="16"/>
                <w:szCs w:val="16"/>
                <w:lang w:eastAsia="en-GB"/>
              </w:rPr>
            </w:pPr>
            <w:r w:rsidRPr="006C303A">
              <w:rPr>
                <w:rFonts w:ascii="Trebuchet MS" w:eastAsia="Times New Roman" w:hAnsi="Trebuchet MS" w:cs="Times New Roman"/>
                <w:b/>
                <w:bCs/>
                <w:color w:val="0070C0"/>
                <w:sz w:val="16"/>
                <w:szCs w:val="16"/>
                <w:lang w:eastAsia="en-GB"/>
              </w:rPr>
              <w:t>Before Scheme</w:t>
            </w:r>
          </w:p>
        </w:tc>
        <w:tc>
          <w:tcPr>
            <w:tcW w:w="807" w:type="dxa"/>
            <w:tcBorders>
              <w:top w:val="single" w:sz="8" w:space="0" w:color="0070C0"/>
              <w:left w:val="nil"/>
              <w:bottom w:val="single" w:sz="8" w:space="0" w:color="0070C0"/>
              <w:right w:val="single" w:sz="8" w:space="0" w:color="0070C0"/>
            </w:tcBorders>
            <w:shd w:val="clear" w:color="auto" w:fill="auto"/>
            <w:noWrap/>
            <w:vAlign w:val="center"/>
            <w:hideMark/>
          </w:tcPr>
          <w:p w14:paraId="5A6F30B4" w14:textId="77777777" w:rsidR="00F86741" w:rsidRPr="006C303A" w:rsidRDefault="00F86741" w:rsidP="00F86741">
            <w:pPr>
              <w:spacing w:after="0" w:line="240" w:lineRule="auto"/>
              <w:jc w:val="center"/>
              <w:rPr>
                <w:rFonts w:ascii="Trebuchet MS" w:eastAsia="Times New Roman" w:hAnsi="Trebuchet MS" w:cs="Times New Roman"/>
                <w:b/>
                <w:bCs/>
                <w:color w:val="0070C0"/>
                <w:sz w:val="16"/>
                <w:szCs w:val="16"/>
                <w:lang w:eastAsia="en-GB"/>
              </w:rPr>
            </w:pPr>
            <w:r w:rsidRPr="006C303A">
              <w:rPr>
                <w:rFonts w:ascii="Trebuchet MS" w:eastAsia="Times New Roman" w:hAnsi="Trebuchet MS" w:cs="Times New Roman"/>
                <w:b/>
                <w:bCs/>
                <w:color w:val="0070C0"/>
                <w:sz w:val="16"/>
                <w:szCs w:val="16"/>
                <w:lang w:eastAsia="en-GB"/>
              </w:rPr>
              <w:t> </w:t>
            </w:r>
          </w:p>
        </w:tc>
        <w:tc>
          <w:tcPr>
            <w:tcW w:w="4217" w:type="dxa"/>
            <w:gridSpan w:val="5"/>
            <w:tcBorders>
              <w:top w:val="single" w:sz="8" w:space="0" w:color="0070C0"/>
              <w:left w:val="nil"/>
              <w:bottom w:val="single" w:sz="8" w:space="0" w:color="0070C0"/>
              <w:right w:val="single" w:sz="8" w:space="0" w:color="0070C0"/>
            </w:tcBorders>
            <w:shd w:val="clear" w:color="auto" w:fill="auto"/>
            <w:noWrap/>
            <w:vAlign w:val="center"/>
            <w:hideMark/>
          </w:tcPr>
          <w:p w14:paraId="76AC591B" w14:textId="77777777" w:rsidR="00F86741" w:rsidRPr="006C303A" w:rsidRDefault="00F86741" w:rsidP="00F86741">
            <w:pPr>
              <w:spacing w:after="0" w:line="240" w:lineRule="auto"/>
              <w:jc w:val="center"/>
              <w:rPr>
                <w:rFonts w:ascii="Trebuchet MS" w:eastAsia="Times New Roman" w:hAnsi="Trebuchet MS" w:cs="Times New Roman"/>
                <w:b/>
                <w:bCs/>
                <w:color w:val="0070C0"/>
                <w:sz w:val="16"/>
                <w:szCs w:val="16"/>
                <w:lang w:eastAsia="en-GB"/>
              </w:rPr>
            </w:pPr>
            <w:r w:rsidRPr="006C303A">
              <w:rPr>
                <w:rFonts w:ascii="Trebuchet MS" w:eastAsia="Times New Roman" w:hAnsi="Trebuchet MS" w:cs="Times New Roman"/>
                <w:b/>
                <w:bCs/>
                <w:color w:val="0070C0"/>
                <w:sz w:val="16"/>
                <w:szCs w:val="16"/>
                <w:lang w:eastAsia="en-GB"/>
              </w:rPr>
              <w:t>After Scheme</w:t>
            </w:r>
          </w:p>
        </w:tc>
      </w:tr>
      <w:tr w:rsidR="00F86741" w:rsidRPr="007337C6" w14:paraId="280C3FB9" w14:textId="77777777" w:rsidTr="00F86741">
        <w:trPr>
          <w:trHeight w:val="298"/>
        </w:trPr>
        <w:tc>
          <w:tcPr>
            <w:tcW w:w="1485" w:type="dxa"/>
            <w:tcBorders>
              <w:top w:val="nil"/>
              <w:left w:val="nil"/>
              <w:bottom w:val="nil"/>
              <w:right w:val="nil"/>
            </w:tcBorders>
            <w:shd w:val="clear" w:color="auto" w:fill="auto"/>
            <w:noWrap/>
            <w:vAlign w:val="center"/>
            <w:hideMark/>
          </w:tcPr>
          <w:p w14:paraId="490DAD6C" w14:textId="77777777" w:rsidR="00F86741" w:rsidRPr="007337C6" w:rsidRDefault="00F86741" w:rsidP="00F86741">
            <w:pPr>
              <w:spacing w:after="0" w:line="240" w:lineRule="auto"/>
              <w:jc w:val="center"/>
              <w:rPr>
                <w:rFonts w:ascii="Trebuchet MS" w:eastAsia="Times New Roman" w:hAnsi="Trebuchet MS" w:cs="Times New Roman"/>
                <w:b/>
                <w:bCs/>
                <w:color w:val="000000"/>
                <w:sz w:val="16"/>
                <w:szCs w:val="16"/>
                <w:lang w:eastAsia="en-GB"/>
              </w:rPr>
            </w:pPr>
            <w:r w:rsidRPr="007337C6">
              <w:rPr>
                <w:rFonts w:ascii="Trebuchet MS" w:eastAsia="Times New Roman" w:hAnsi="Trebuchet MS" w:cs="Times New Roman"/>
                <w:b/>
                <w:bCs/>
                <w:color w:val="000000"/>
                <w:sz w:val="16"/>
                <w:szCs w:val="16"/>
                <w:lang w:eastAsia="en-GB"/>
              </w:rPr>
              <w:t>AEI</w:t>
            </w:r>
          </w:p>
        </w:tc>
        <w:tc>
          <w:tcPr>
            <w:tcW w:w="730" w:type="dxa"/>
            <w:tcBorders>
              <w:top w:val="nil"/>
              <w:left w:val="single" w:sz="8" w:space="0" w:color="0070C0"/>
              <w:bottom w:val="single" w:sz="8" w:space="0" w:color="0070C0"/>
              <w:right w:val="nil"/>
            </w:tcBorders>
            <w:shd w:val="clear" w:color="auto" w:fill="auto"/>
            <w:noWrap/>
            <w:vAlign w:val="center"/>
            <w:hideMark/>
          </w:tcPr>
          <w:p w14:paraId="2CC2DEB4" w14:textId="77777777" w:rsidR="00F86741" w:rsidRPr="007337C6" w:rsidRDefault="00F86741" w:rsidP="00F86741">
            <w:pPr>
              <w:spacing w:after="0" w:line="240" w:lineRule="auto"/>
              <w:jc w:val="right"/>
              <w:rPr>
                <w:rFonts w:ascii="Trebuchet MS" w:eastAsia="Times New Roman" w:hAnsi="Trebuchet MS" w:cs="Times New Roman"/>
                <w:color w:val="0070C0"/>
                <w:sz w:val="16"/>
                <w:szCs w:val="16"/>
                <w:lang w:eastAsia="en-GB"/>
              </w:rPr>
            </w:pPr>
            <w:r w:rsidRPr="007337C6">
              <w:rPr>
                <w:rFonts w:ascii="Trebuchet MS" w:eastAsia="Times New Roman" w:hAnsi="Trebuchet MS" w:cs="Times New Roman"/>
                <w:color w:val="0070C0"/>
                <w:sz w:val="16"/>
                <w:szCs w:val="16"/>
                <w:lang w:eastAsia="en-GB"/>
              </w:rPr>
              <w:t>UK</w:t>
            </w:r>
          </w:p>
        </w:tc>
        <w:tc>
          <w:tcPr>
            <w:tcW w:w="955" w:type="dxa"/>
            <w:tcBorders>
              <w:top w:val="nil"/>
              <w:left w:val="nil"/>
              <w:bottom w:val="single" w:sz="8" w:space="0" w:color="0070C0"/>
              <w:right w:val="nil"/>
            </w:tcBorders>
            <w:shd w:val="clear" w:color="auto" w:fill="auto"/>
            <w:noWrap/>
            <w:vAlign w:val="center"/>
            <w:hideMark/>
          </w:tcPr>
          <w:p w14:paraId="4AE66A65" w14:textId="77777777" w:rsidR="00F86741" w:rsidRPr="007337C6" w:rsidRDefault="00F86741" w:rsidP="00F86741">
            <w:pPr>
              <w:spacing w:after="0" w:line="240" w:lineRule="auto"/>
              <w:jc w:val="right"/>
              <w:rPr>
                <w:rFonts w:ascii="Trebuchet MS" w:eastAsia="Times New Roman" w:hAnsi="Trebuchet MS" w:cs="Times New Roman"/>
                <w:color w:val="0070C0"/>
                <w:sz w:val="16"/>
                <w:szCs w:val="16"/>
                <w:lang w:eastAsia="en-GB"/>
              </w:rPr>
            </w:pPr>
            <w:r w:rsidRPr="007337C6">
              <w:rPr>
                <w:rFonts w:ascii="Trebuchet MS" w:eastAsia="Times New Roman" w:hAnsi="Trebuchet MS" w:cs="Times New Roman"/>
                <w:color w:val="0070C0"/>
                <w:sz w:val="16"/>
                <w:szCs w:val="16"/>
                <w:lang w:eastAsia="en-GB"/>
              </w:rPr>
              <w:t>Switzerland</w:t>
            </w:r>
          </w:p>
        </w:tc>
        <w:tc>
          <w:tcPr>
            <w:tcW w:w="922" w:type="dxa"/>
            <w:tcBorders>
              <w:top w:val="nil"/>
              <w:left w:val="nil"/>
              <w:bottom w:val="single" w:sz="8" w:space="0" w:color="0070C0"/>
              <w:right w:val="nil"/>
            </w:tcBorders>
            <w:shd w:val="clear" w:color="auto" w:fill="auto"/>
            <w:noWrap/>
            <w:vAlign w:val="center"/>
            <w:hideMark/>
          </w:tcPr>
          <w:p w14:paraId="048C77B7" w14:textId="77777777" w:rsidR="00F86741" w:rsidRPr="007337C6" w:rsidRDefault="00F86741" w:rsidP="00F86741">
            <w:pPr>
              <w:spacing w:after="0" w:line="240" w:lineRule="auto"/>
              <w:jc w:val="right"/>
              <w:rPr>
                <w:rFonts w:ascii="Trebuchet MS" w:eastAsia="Times New Roman" w:hAnsi="Trebuchet MS" w:cs="Times New Roman"/>
                <w:color w:val="0070C0"/>
                <w:sz w:val="16"/>
                <w:szCs w:val="16"/>
                <w:lang w:eastAsia="en-GB"/>
              </w:rPr>
            </w:pPr>
            <w:r w:rsidRPr="007337C6">
              <w:rPr>
                <w:rFonts w:ascii="Trebuchet MS" w:eastAsia="Times New Roman" w:hAnsi="Trebuchet MS" w:cs="Times New Roman"/>
                <w:color w:val="0070C0"/>
                <w:sz w:val="16"/>
                <w:szCs w:val="16"/>
                <w:lang w:eastAsia="en-GB"/>
              </w:rPr>
              <w:t>South Africa</w:t>
            </w:r>
          </w:p>
        </w:tc>
        <w:tc>
          <w:tcPr>
            <w:tcW w:w="807" w:type="dxa"/>
            <w:tcBorders>
              <w:top w:val="nil"/>
              <w:left w:val="nil"/>
              <w:bottom w:val="single" w:sz="8" w:space="0" w:color="0070C0"/>
              <w:right w:val="nil"/>
            </w:tcBorders>
            <w:shd w:val="clear" w:color="auto" w:fill="auto"/>
            <w:noWrap/>
            <w:vAlign w:val="center"/>
            <w:hideMark/>
          </w:tcPr>
          <w:p w14:paraId="1BD964D9" w14:textId="77777777" w:rsidR="00F86741" w:rsidRPr="007337C6" w:rsidRDefault="00F86741" w:rsidP="00F86741">
            <w:pPr>
              <w:spacing w:after="0" w:line="240" w:lineRule="auto"/>
              <w:jc w:val="right"/>
              <w:rPr>
                <w:rFonts w:ascii="Trebuchet MS" w:eastAsia="Times New Roman" w:hAnsi="Trebuchet MS" w:cs="Times New Roman"/>
                <w:color w:val="0070C0"/>
                <w:sz w:val="16"/>
                <w:szCs w:val="16"/>
                <w:lang w:eastAsia="en-GB"/>
              </w:rPr>
            </w:pPr>
            <w:r w:rsidRPr="007337C6">
              <w:rPr>
                <w:rFonts w:ascii="Trebuchet MS" w:eastAsia="Times New Roman" w:hAnsi="Trebuchet MS" w:cs="Times New Roman"/>
                <w:color w:val="0070C0"/>
                <w:sz w:val="16"/>
                <w:szCs w:val="16"/>
                <w:lang w:eastAsia="en-GB"/>
              </w:rPr>
              <w:t>EU</w:t>
            </w:r>
          </w:p>
        </w:tc>
        <w:tc>
          <w:tcPr>
            <w:tcW w:w="807" w:type="dxa"/>
            <w:tcBorders>
              <w:top w:val="nil"/>
              <w:left w:val="single" w:sz="8" w:space="0" w:color="0070C0"/>
              <w:bottom w:val="single" w:sz="8" w:space="0" w:color="0070C0"/>
              <w:right w:val="single" w:sz="8" w:space="0" w:color="0070C0"/>
            </w:tcBorders>
            <w:shd w:val="clear" w:color="auto" w:fill="auto"/>
            <w:noWrap/>
            <w:vAlign w:val="center"/>
            <w:hideMark/>
          </w:tcPr>
          <w:p w14:paraId="7DFEA99A" w14:textId="77777777" w:rsidR="00F86741" w:rsidRPr="007337C6" w:rsidRDefault="00F86741" w:rsidP="00F86741">
            <w:pPr>
              <w:spacing w:after="0" w:line="240" w:lineRule="auto"/>
              <w:jc w:val="right"/>
              <w:rPr>
                <w:rFonts w:ascii="Trebuchet MS" w:eastAsia="Times New Roman" w:hAnsi="Trebuchet MS" w:cs="Times New Roman"/>
                <w:color w:val="0070C0"/>
                <w:sz w:val="16"/>
                <w:szCs w:val="16"/>
                <w:lang w:eastAsia="en-GB"/>
              </w:rPr>
            </w:pPr>
            <w:r w:rsidRPr="007337C6">
              <w:rPr>
                <w:rFonts w:ascii="Trebuchet MS" w:eastAsia="Times New Roman" w:hAnsi="Trebuchet MS" w:cs="Times New Roman"/>
                <w:color w:val="0070C0"/>
                <w:sz w:val="16"/>
                <w:szCs w:val="16"/>
                <w:lang w:eastAsia="en-GB"/>
              </w:rPr>
              <w:t>Total</w:t>
            </w:r>
          </w:p>
        </w:tc>
        <w:tc>
          <w:tcPr>
            <w:tcW w:w="807" w:type="dxa"/>
            <w:tcBorders>
              <w:top w:val="nil"/>
              <w:left w:val="nil"/>
              <w:bottom w:val="single" w:sz="8" w:space="0" w:color="0070C0"/>
              <w:right w:val="nil"/>
            </w:tcBorders>
            <w:shd w:val="clear" w:color="auto" w:fill="auto"/>
            <w:noWrap/>
            <w:vAlign w:val="center"/>
            <w:hideMark/>
          </w:tcPr>
          <w:p w14:paraId="2DBD71CE" w14:textId="77777777" w:rsidR="00F86741" w:rsidRPr="007337C6" w:rsidRDefault="00F86741" w:rsidP="00F86741">
            <w:pPr>
              <w:spacing w:after="0" w:line="240" w:lineRule="auto"/>
              <w:jc w:val="right"/>
              <w:rPr>
                <w:rFonts w:ascii="Trebuchet MS" w:eastAsia="Times New Roman" w:hAnsi="Trebuchet MS" w:cs="Times New Roman"/>
                <w:color w:val="0070C0"/>
                <w:sz w:val="16"/>
                <w:szCs w:val="16"/>
                <w:lang w:eastAsia="en-GB"/>
              </w:rPr>
            </w:pPr>
            <w:r w:rsidRPr="007337C6">
              <w:rPr>
                <w:rFonts w:ascii="Trebuchet MS" w:eastAsia="Times New Roman" w:hAnsi="Trebuchet MS" w:cs="Times New Roman"/>
                <w:color w:val="0070C0"/>
                <w:sz w:val="16"/>
                <w:szCs w:val="16"/>
                <w:lang w:eastAsia="en-GB"/>
              </w:rPr>
              <w:t>UK</w:t>
            </w:r>
          </w:p>
        </w:tc>
        <w:tc>
          <w:tcPr>
            <w:tcW w:w="955" w:type="dxa"/>
            <w:tcBorders>
              <w:top w:val="nil"/>
              <w:left w:val="nil"/>
              <w:bottom w:val="single" w:sz="8" w:space="0" w:color="0070C0"/>
              <w:right w:val="nil"/>
            </w:tcBorders>
            <w:shd w:val="clear" w:color="auto" w:fill="auto"/>
            <w:noWrap/>
            <w:vAlign w:val="center"/>
            <w:hideMark/>
          </w:tcPr>
          <w:p w14:paraId="57C3C539" w14:textId="77777777" w:rsidR="00F86741" w:rsidRPr="007337C6" w:rsidRDefault="00F86741" w:rsidP="00F86741">
            <w:pPr>
              <w:spacing w:after="0" w:line="240" w:lineRule="auto"/>
              <w:jc w:val="right"/>
              <w:rPr>
                <w:rFonts w:ascii="Trebuchet MS" w:eastAsia="Times New Roman" w:hAnsi="Trebuchet MS" w:cs="Times New Roman"/>
                <w:color w:val="0070C0"/>
                <w:sz w:val="16"/>
                <w:szCs w:val="16"/>
                <w:lang w:eastAsia="en-GB"/>
              </w:rPr>
            </w:pPr>
            <w:r w:rsidRPr="007337C6">
              <w:rPr>
                <w:rFonts w:ascii="Trebuchet MS" w:eastAsia="Times New Roman" w:hAnsi="Trebuchet MS" w:cs="Times New Roman"/>
                <w:color w:val="0070C0"/>
                <w:sz w:val="16"/>
                <w:szCs w:val="16"/>
                <w:lang w:eastAsia="en-GB"/>
              </w:rPr>
              <w:t>Switzerland</w:t>
            </w:r>
          </w:p>
        </w:tc>
        <w:tc>
          <w:tcPr>
            <w:tcW w:w="922" w:type="dxa"/>
            <w:tcBorders>
              <w:top w:val="nil"/>
              <w:left w:val="nil"/>
              <w:bottom w:val="single" w:sz="8" w:space="0" w:color="0070C0"/>
              <w:right w:val="nil"/>
            </w:tcBorders>
            <w:shd w:val="clear" w:color="auto" w:fill="auto"/>
            <w:noWrap/>
            <w:vAlign w:val="center"/>
            <w:hideMark/>
          </w:tcPr>
          <w:p w14:paraId="0C72104D" w14:textId="77777777" w:rsidR="00F86741" w:rsidRPr="007337C6" w:rsidRDefault="00F86741" w:rsidP="00F86741">
            <w:pPr>
              <w:spacing w:after="0" w:line="240" w:lineRule="auto"/>
              <w:jc w:val="right"/>
              <w:rPr>
                <w:rFonts w:ascii="Trebuchet MS" w:eastAsia="Times New Roman" w:hAnsi="Trebuchet MS" w:cs="Times New Roman"/>
                <w:color w:val="0070C0"/>
                <w:sz w:val="16"/>
                <w:szCs w:val="16"/>
                <w:lang w:eastAsia="en-GB"/>
              </w:rPr>
            </w:pPr>
            <w:r w:rsidRPr="007337C6">
              <w:rPr>
                <w:rFonts w:ascii="Trebuchet MS" w:eastAsia="Times New Roman" w:hAnsi="Trebuchet MS" w:cs="Times New Roman"/>
                <w:color w:val="0070C0"/>
                <w:sz w:val="16"/>
                <w:szCs w:val="16"/>
                <w:lang w:eastAsia="en-GB"/>
              </w:rPr>
              <w:t>South Africa</w:t>
            </w:r>
          </w:p>
        </w:tc>
        <w:tc>
          <w:tcPr>
            <w:tcW w:w="724" w:type="dxa"/>
            <w:tcBorders>
              <w:top w:val="nil"/>
              <w:left w:val="nil"/>
              <w:bottom w:val="single" w:sz="8" w:space="0" w:color="0070C0"/>
              <w:right w:val="nil"/>
            </w:tcBorders>
            <w:shd w:val="clear" w:color="auto" w:fill="auto"/>
            <w:noWrap/>
            <w:vAlign w:val="center"/>
            <w:hideMark/>
          </w:tcPr>
          <w:p w14:paraId="0EE7FF5D" w14:textId="77777777" w:rsidR="00F86741" w:rsidRPr="007337C6" w:rsidRDefault="00F86741" w:rsidP="00F86741">
            <w:pPr>
              <w:spacing w:after="0" w:line="240" w:lineRule="auto"/>
              <w:jc w:val="right"/>
              <w:rPr>
                <w:rFonts w:ascii="Trebuchet MS" w:eastAsia="Times New Roman" w:hAnsi="Trebuchet MS" w:cs="Times New Roman"/>
                <w:color w:val="0070C0"/>
                <w:sz w:val="16"/>
                <w:szCs w:val="16"/>
                <w:lang w:eastAsia="en-GB"/>
              </w:rPr>
            </w:pPr>
            <w:r w:rsidRPr="007337C6">
              <w:rPr>
                <w:rFonts w:ascii="Trebuchet MS" w:eastAsia="Times New Roman" w:hAnsi="Trebuchet MS" w:cs="Times New Roman"/>
                <w:color w:val="0070C0"/>
                <w:sz w:val="16"/>
                <w:szCs w:val="16"/>
                <w:lang w:eastAsia="en-GB"/>
              </w:rPr>
              <w:t>EU</w:t>
            </w:r>
          </w:p>
        </w:tc>
        <w:tc>
          <w:tcPr>
            <w:tcW w:w="807" w:type="dxa"/>
            <w:tcBorders>
              <w:top w:val="nil"/>
              <w:left w:val="single" w:sz="8" w:space="0" w:color="0070C0"/>
              <w:bottom w:val="single" w:sz="8" w:space="0" w:color="0070C0"/>
              <w:right w:val="single" w:sz="8" w:space="0" w:color="0070C0"/>
            </w:tcBorders>
            <w:shd w:val="clear" w:color="auto" w:fill="auto"/>
            <w:noWrap/>
            <w:vAlign w:val="center"/>
            <w:hideMark/>
          </w:tcPr>
          <w:p w14:paraId="753C5EC2" w14:textId="77777777" w:rsidR="00F86741" w:rsidRPr="007337C6" w:rsidRDefault="00F86741" w:rsidP="00F86741">
            <w:pPr>
              <w:spacing w:after="0" w:line="240" w:lineRule="auto"/>
              <w:jc w:val="right"/>
              <w:rPr>
                <w:rFonts w:ascii="Trebuchet MS" w:eastAsia="Times New Roman" w:hAnsi="Trebuchet MS" w:cs="Times New Roman"/>
                <w:color w:val="0070C0"/>
                <w:sz w:val="16"/>
                <w:szCs w:val="16"/>
                <w:lang w:eastAsia="en-GB"/>
              </w:rPr>
            </w:pPr>
            <w:r w:rsidRPr="007337C6">
              <w:rPr>
                <w:rFonts w:ascii="Trebuchet MS" w:eastAsia="Times New Roman" w:hAnsi="Trebuchet MS" w:cs="Times New Roman"/>
                <w:color w:val="0070C0"/>
                <w:sz w:val="16"/>
                <w:szCs w:val="16"/>
                <w:lang w:eastAsia="en-GB"/>
              </w:rPr>
              <w:t>Total</w:t>
            </w:r>
          </w:p>
        </w:tc>
      </w:tr>
      <w:tr w:rsidR="00F86741" w:rsidRPr="007337C6" w14:paraId="619FB122" w14:textId="77777777" w:rsidTr="001E2B2B">
        <w:trPr>
          <w:trHeight w:val="266"/>
        </w:trPr>
        <w:tc>
          <w:tcPr>
            <w:tcW w:w="1485" w:type="dxa"/>
            <w:tcBorders>
              <w:top w:val="single" w:sz="8" w:space="0" w:color="0070C0"/>
              <w:left w:val="single" w:sz="8" w:space="0" w:color="0070C0"/>
              <w:bottom w:val="single" w:sz="8" w:space="0" w:color="0070C0"/>
              <w:right w:val="single" w:sz="8" w:space="0" w:color="0070C0"/>
            </w:tcBorders>
            <w:shd w:val="clear" w:color="auto" w:fill="auto"/>
            <w:noWrap/>
            <w:vAlign w:val="center"/>
            <w:hideMark/>
          </w:tcPr>
          <w:p w14:paraId="78F570CC" w14:textId="77777777" w:rsidR="00F86741" w:rsidRPr="007337C6" w:rsidRDefault="00F86741" w:rsidP="00F86741">
            <w:pPr>
              <w:spacing w:after="0" w:line="240" w:lineRule="auto"/>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Claims Provision</w:t>
            </w:r>
          </w:p>
        </w:tc>
        <w:tc>
          <w:tcPr>
            <w:tcW w:w="730" w:type="dxa"/>
            <w:tcBorders>
              <w:top w:val="nil"/>
              <w:left w:val="nil"/>
              <w:bottom w:val="single" w:sz="8" w:space="0" w:color="0070C0"/>
              <w:right w:val="nil"/>
            </w:tcBorders>
            <w:shd w:val="clear" w:color="auto" w:fill="auto"/>
            <w:noWrap/>
            <w:vAlign w:val="bottom"/>
            <w:hideMark/>
          </w:tcPr>
          <w:p w14:paraId="7AF54515"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0</w:t>
            </w:r>
          </w:p>
        </w:tc>
        <w:tc>
          <w:tcPr>
            <w:tcW w:w="955" w:type="dxa"/>
            <w:tcBorders>
              <w:top w:val="nil"/>
              <w:left w:val="nil"/>
              <w:bottom w:val="single" w:sz="8" w:space="0" w:color="0070C0"/>
              <w:right w:val="nil"/>
            </w:tcBorders>
            <w:shd w:val="clear" w:color="auto" w:fill="auto"/>
            <w:noWrap/>
            <w:vAlign w:val="bottom"/>
            <w:hideMark/>
          </w:tcPr>
          <w:p w14:paraId="2E6823F3"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0</w:t>
            </w:r>
          </w:p>
        </w:tc>
        <w:tc>
          <w:tcPr>
            <w:tcW w:w="922" w:type="dxa"/>
            <w:tcBorders>
              <w:top w:val="nil"/>
              <w:left w:val="nil"/>
              <w:bottom w:val="single" w:sz="8" w:space="0" w:color="0070C0"/>
              <w:right w:val="nil"/>
            </w:tcBorders>
            <w:shd w:val="clear" w:color="auto" w:fill="auto"/>
            <w:noWrap/>
            <w:vAlign w:val="bottom"/>
            <w:hideMark/>
          </w:tcPr>
          <w:p w14:paraId="6C37FBB7"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0</w:t>
            </w:r>
          </w:p>
        </w:tc>
        <w:tc>
          <w:tcPr>
            <w:tcW w:w="807" w:type="dxa"/>
            <w:tcBorders>
              <w:top w:val="nil"/>
              <w:left w:val="nil"/>
              <w:bottom w:val="single" w:sz="8" w:space="0" w:color="0070C0"/>
              <w:right w:val="nil"/>
            </w:tcBorders>
            <w:shd w:val="clear" w:color="auto" w:fill="auto"/>
            <w:noWrap/>
            <w:vAlign w:val="bottom"/>
            <w:hideMark/>
          </w:tcPr>
          <w:p w14:paraId="3AC07E89"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0</w:t>
            </w:r>
          </w:p>
        </w:tc>
        <w:tc>
          <w:tcPr>
            <w:tcW w:w="807" w:type="dxa"/>
            <w:tcBorders>
              <w:top w:val="nil"/>
              <w:left w:val="single" w:sz="8" w:space="0" w:color="0070C0"/>
              <w:bottom w:val="single" w:sz="8" w:space="0" w:color="0070C0"/>
              <w:right w:val="single" w:sz="8" w:space="0" w:color="0070C0"/>
            </w:tcBorders>
            <w:shd w:val="clear" w:color="auto" w:fill="auto"/>
            <w:noWrap/>
            <w:vAlign w:val="bottom"/>
            <w:hideMark/>
          </w:tcPr>
          <w:p w14:paraId="05C32CB5"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0</w:t>
            </w:r>
          </w:p>
        </w:tc>
        <w:tc>
          <w:tcPr>
            <w:tcW w:w="807" w:type="dxa"/>
            <w:tcBorders>
              <w:top w:val="nil"/>
              <w:left w:val="nil"/>
              <w:bottom w:val="single" w:sz="8" w:space="0" w:color="0070C0"/>
              <w:right w:val="nil"/>
            </w:tcBorders>
            <w:shd w:val="clear" w:color="auto" w:fill="auto"/>
            <w:noWrap/>
            <w:vAlign w:val="bottom"/>
            <w:hideMark/>
          </w:tcPr>
          <w:p w14:paraId="2B96D48D"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0</w:t>
            </w:r>
          </w:p>
        </w:tc>
        <w:tc>
          <w:tcPr>
            <w:tcW w:w="955" w:type="dxa"/>
            <w:tcBorders>
              <w:top w:val="nil"/>
              <w:left w:val="nil"/>
              <w:bottom w:val="single" w:sz="8" w:space="0" w:color="0070C0"/>
              <w:right w:val="nil"/>
            </w:tcBorders>
            <w:shd w:val="clear" w:color="auto" w:fill="auto"/>
            <w:noWrap/>
            <w:vAlign w:val="bottom"/>
            <w:hideMark/>
          </w:tcPr>
          <w:p w14:paraId="5464F2EC"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0</w:t>
            </w:r>
          </w:p>
        </w:tc>
        <w:tc>
          <w:tcPr>
            <w:tcW w:w="922" w:type="dxa"/>
            <w:tcBorders>
              <w:top w:val="nil"/>
              <w:left w:val="nil"/>
              <w:bottom w:val="single" w:sz="8" w:space="0" w:color="0070C0"/>
              <w:right w:val="nil"/>
            </w:tcBorders>
            <w:shd w:val="clear" w:color="auto" w:fill="auto"/>
            <w:noWrap/>
            <w:vAlign w:val="bottom"/>
            <w:hideMark/>
          </w:tcPr>
          <w:p w14:paraId="3FC82F6F"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0</w:t>
            </w:r>
          </w:p>
        </w:tc>
        <w:tc>
          <w:tcPr>
            <w:tcW w:w="724" w:type="dxa"/>
            <w:tcBorders>
              <w:top w:val="nil"/>
              <w:left w:val="nil"/>
              <w:bottom w:val="single" w:sz="8" w:space="0" w:color="0070C0"/>
              <w:right w:val="nil"/>
            </w:tcBorders>
            <w:shd w:val="clear" w:color="auto" w:fill="auto"/>
            <w:noWrap/>
            <w:vAlign w:val="bottom"/>
            <w:hideMark/>
          </w:tcPr>
          <w:p w14:paraId="7DD09E25"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40,459</w:t>
            </w:r>
          </w:p>
        </w:tc>
        <w:tc>
          <w:tcPr>
            <w:tcW w:w="807" w:type="dxa"/>
            <w:tcBorders>
              <w:top w:val="nil"/>
              <w:left w:val="single" w:sz="8" w:space="0" w:color="0070C0"/>
              <w:bottom w:val="single" w:sz="8" w:space="0" w:color="0070C0"/>
              <w:right w:val="single" w:sz="8" w:space="0" w:color="0070C0"/>
            </w:tcBorders>
            <w:shd w:val="clear" w:color="auto" w:fill="auto"/>
            <w:noWrap/>
            <w:vAlign w:val="bottom"/>
            <w:hideMark/>
          </w:tcPr>
          <w:p w14:paraId="474FF610"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40,459</w:t>
            </w:r>
          </w:p>
        </w:tc>
      </w:tr>
      <w:tr w:rsidR="00F86741" w:rsidRPr="007337C6" w14:paraId="35FF522B" w14:textId="77777777" w:rsidTr="001E2B2B">
        <w:trPr>
          <w:trHeight w:val="266"/>
        </w:trPr>
        <w:tc>
          <w:tcPr>
            <w:tcW w:w="1485" w:type="dxa"/>
            <w:tcBorders>
              <w:top w:val="nil"/>
              <w:left w:val="single" w:sz="8" w:space="0" w:color="0070C0"/>
              <w:bottom w:val="single" w:sz="8" w:space="0" w:color="0070C0"/>
              <w:right w:val="single" w:sz="8" w:space="0" w:color="0070C0"/>
            </w:tcBorders>
            <w:shd w:val="clear" w:color="auto" w:fill="auto"/>
            <w:noWrap/>
            <w:vAlign w:val="center"/>
            <w:hideMark/>
          </w:tcPr>
          <w:p w14:paraId="465B3FB7" w14:textId="77777777" w:rsidR="00F86741" w:rsidRPr="007337C6" w:rsidRDefault="00F86741" w:rsidP="00F86741">
            <w:pPr>
              <w:spacing w:after="0" w:line="240" w:lineRule="auto"/>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Premium Provision</w:t>
            </w:r>
          </w:p>
        </w:tc>
        <w:tc>
          <w:tcPr>
            <w:tcW w:w="730" w:type="dxa"/>
            <w:tcBorders>
              <w:top w:val="nil"/>
              <w:left w:val="nil"/>
              <w:bottom w:val="single" w:sz="8" w:space="0" w:color="0070C0"/>
              <w:right w:val="nil"/>
            </w:tcBorders>
            <w:shd w:val="clear" w:color="auto" w:fill="auto"/>
            <w:noWrap/>
            <w:vAlign w:val="bottom"/>
            <w:hideMark/>
          </w:tcPr>
          <w:p w14:paraId="35A82B91"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0</w:t>
            </w:r>
          </w:p>
        </w:tc>
        <w:tc>
          <w:tcPr>
            <w:tcW w:w="955" w:type="dxa"/>
            <w:tcBorders>
              <w:top w:val="nil"/>
              <w:left w:val="nil"/>
              <w:bottom w:val="single" w:sz="8" w:space="0" w:color="0070C0"/>
              <w:right w:val="nil"/>
            </w:tcBorders>
            <w:shd w:val="clear" w:color="auto" w:fill="auto"/>
            <w:noWrap/>
            <w:vAlign w:val="bottom"/>
            <w:hideMark/>
          </w:tcPr>
          <w:p w14:paraId="0F9C3C96"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0</w:t>
            </w:r>
          </w:p>
        </w:tc>
        <w:tc>
          <w:tcPr>
            <w:tcW w:w="922" w:type="dxa"/>
            <w:tcBorders>
              <w:top w:val="nil"/>
              <w:left w:val="nil"/>
              <w:bottom w:val="single" w:sz="8" w:space="0" w:color="0070C0"/>
              <w:right w:val="nil"/>
            </w:tcBorders>
            <w:shd w:val="clear" w:color="auto" w:fill="auto"/>
            <w:noWrap/>
            <w:vAlign w:val="bottom"/>
            <w:hideMark/>
          </w:tcPr>
          <w:p w14:paraId="77CCF0F9"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0</w:t>
            </w:r>
          </w:p>
        </w:tc>
        <w:tc>
          <w:tcPr>
            <w:tcW w:w="807" w:type="dxa"/>
            <w:tcBorders>
              <w:top w:val="nil"/>
              <w:left w:val="nil"/>
              <w:bottom w:val="single" w:sz="8" w:space="0" w:color="0070C0"/>
              <w:right w:val="nil"/>
            </w:tcBorders>
            <w:shd w:val="clear" w:color="auto" w:fill="auto"/>
            <w:noWrap/>
            <w:vAlign w:val="bottom"/>
            <w:hideMark/>
          </w:tcPr>
          <w:p w14:paraId="0C45804A"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0</w:t>
            </w:r>
          </w:p>
        </w:tc>
        <w:tc>
          <w:tcPr>
            <w:tcW w:w="807" w:type="dxa"/>
            <w:tcBorders>
              <w:top w:val="nil"/>
              <w:left w:val="single" w:sz="8" w:space="0" w:color="0070C0"/>
              <w:bottom w:val="single" w:sz="8" w:space="0" w:color="0070C0"/>
              <w:right w:val="single" w:sz="8" w:space="0" w:color="0070C0"/>
            </w:tcBorders>
            <w:shd w:val="clear" w:color="auto" w:fill="auto"/>
            <w:noWrap/>
            <w:vAlign w:val="bottom"/>
            <w:hideMark/>
          </w:tcPr>
          <w:p w14:paraId="615745DC"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0</w:t>
            </w:r>
          </w:p>
        </w:tc>
        <w:tc>
          <w:tcPr>
            <w:tcW w:w="807" w:type="dxa"/>
            <w:tcBorders>
              <w:top w:val="nil"/>
              <w:left w:val="nil"/>
              <w:bottom w:val="single" w:sz="8" w:space="0" w:color="0070C0"/>
              <w:right w:val="nil"/>
            </w:tcBorders>
            <w:shd w:val="clear" w:color="auto" w:fill="auto"/>
            <w:noWrap/>
            <w:vAlign w:val="bottom"/>
            <w:hideMark/>
          </w:tcPr>
          <w:p w14:paraId="6C2004DA"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0</w:t>
            </w:r>
          </w:p>
        </w:tc>
        <w:tc>
          <w:tcPr>
            <w:tcW w:w="955" w:type="dxa"/>
            <w:tcBorders>
              <w:top w:val="nil"/>
              <w:left w:val="nil"/>
              <w:bottom w:val="single" w:sz="8" w:space="0" w:color="0070C0"/>
              <w:right w:val="nil"/>
            </w:tcBorders>
            <w:shd w:val="clear" w:color="auto" w:fill="auto"/>
            <w:noWrap/>
            <w:vAlign w:val="bottom"/>
            <w:hideMark/>
          </w:tcPr>
          <w:p w14:paraId="236709AC"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0</w:t>
            </w:r>
          </w:p>
        </w:tc>
        <w:tc>
          <w:tcPr>
            <w:tcW w:w="922" w:type="dxa"/>
            <w:tcBorders>
              <w:top w:val="nil"/>
              <w:left w:val="nil"/>
              <w:bottom w:val="single" w:sz="8" w:space="0" w:color="0070C0"/>
              <w:right w:val="nil"/>
            </w:tcBorders>
            <w:shd w:val="clear" w:color="auto" w:fill="auto"/>
            <w:noWrap/>
            <w:vAlign w:val="bottom"/>
            <w:hideMark/>
          </w:tcPr>
          <w:p w14:paraId="42EAC34E"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0</w:t>
            </w:r>
          </w:p>
        </w:tc>
        <w:tc>
          <w:tcPr>
            <w:tcW w:w="724" w:type="dxa"/>
            <w:tcBorders>
              <w:top w:val="nil"/>
              <w:left w:val="nil"/>
              <w:bottom w:val="single" w:sz="8" w:space="0" w:color="0070C0"/>
              <w:right w:val="nil"/>
            </w:tcBorders>
            <w:shd w:val="clear" w:color="auto" w:fill="auto"/>
            <w:noWrap/>
            <w:vAlign w:val="bottom"/>
            <w:hideMark/>
          </w:tcPr>
          <w:p w14:paraId="43536D8A"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48,213</w:t>
            </w:r>
          </w:p>
        </w:tc>
        <w:tc>
          <w:tcPr>
            <w:tcW w:w="807" w:type="dxa"/>
            <w:tcBorders>
              <w:top w:val="nil"/>
              <w:left w:val="single" w:sz="8" w:space="0" w:color="0070C0"/>
              <w:bottom w:val="single" w:sz="8" w:space="0" w:color="0070C0"/>
              <w:right w:val="single" w:sz="8" w:space="0" w:color="0070C0"/>
            </w:tcBorders>
            <w:shd w:val="clear" w:color="auto" w:fill="auto"/>
            <w:noWrap/>
            <w:vAlign w:val="bottom"/>
            <w:hideMark/>
          </w:tcPr>
          <w:p w14:paraId="729E17AE"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48,213</w:t>
            </w:r>
          </w:p>
        </w:tc>
      </w:tr>
      <w:tr w:rsidR="00F86741" w:rsidRPr="007337C6" w14:paraId="3A227FBA" w14:textId="77777777" w:rsidTr="001E2B2B">
        <w:trPr>
          <w:trHeight w:val="266"/>
        </w:trPr>
        <w:tc>
          <w:tcPr>
            <w:tcW w:w="1485" w:type="dxa"/>
            <w:tcBorders>
              <w:top w:val="nil"/>
              <w:left w:val="single" w:sz="8" w:space="0" w:color="0070C0"/>
              <w:bottom w:val="single" w:sz="8" w:space="0" w:color="0070C0"/>
              <w:right w:val="single" w:sz="8" w:space="0" w:color="0070C0"/>
            </w:tcBorders>
            <w:shd w:val="clear" w:color="auto" w:fill="auto"/>
            <w:noWrap/>
            <w:vAlign w:val="center"/>
            <w:hideMark/>
          </w:tcPr>
          <w:p w14:paraId="1EFFFB16" w14:textId="77777777" w:rsidR="00F86741" w:rsidRPr="007337C6" w:rsidRDefault="00F86741" w:rsidP="00F86741">
            <w:pPr>
              <w:spacing w:after="0" w:line="240" w:lineRule="auto"/>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Total</w:t>
            </w:r>
          </w:p>
        </w:tc>
        <w:tc>
          <w:tcPr>
            <w:tcW w:w="730" w:type="dxa"/>
            <w:tcBorders>
              <w:top w:val="nil"/>
              <w:left w:val="nil"/>
              <w:bottom w:val="single" w:sz="8" w:space="0" w:color="0070C0"/>
              <w:right w:val="nil"/>
            </w:tcBorders>
            <w:shd w:val="clear" w:color="auto" w:fill="auto"/>
            <w:noWrap/>
            <w:vAlign w:val="bottom"/>
            <w:hideMark/>
          </w:tcPr>
          <w:p w14:paraId="5D504F0F"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0</w:t>
            </w:r>
          </w:p>
        </w:tc>
        <w:tc>
          <w:tcPr>
            <w:tcW w:w="955" w:type="dxa"/>
            <w:tcBorders>
              <w:top w:val="nil"/>
              <w:left w:val="nil"/>
              <w:bottom w:val="single" w:sz="8" w:space="0" w:color="0070C0"/>
              <w:right w:val="nil"/>
            </w:tcBorders>
            <w:shd w:val="clear" w:color="auto" w:fill="auto"/>
            <w:noWrap/>
            <w:vAlign w:val="bottom"/>
            <w:hideMark/>
          </w:tcPr>
          <w:p w14:paraId="6CF5EB02"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0</w:t>
            </w:r>
          </w:p>
        </w:tc>
        <w:tc>
          <w:tcPr>
            <w:tcW w:w="922" w:type="dxa"/>
            <w:tcBorders>
              <w:top w:val="nil"/>
              <w:left w:val="nil"/>
              <w:bottom w:val="single" w:sz="8" w:space="0" w:color="0070C0"/>
              <w:right w:val="nil"/>
            </w:tcBorders>
            <w:shd w:val="clear" w:color="auto" w:fill="auto"/>
            <w:noWrap/>
            <w:vAlign w:val="bottom"/>
            <w:hideMark/>
          </w:tcPr>
          <w:p w14:paraId="31458F88"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0</w:t>
            </w:r>
          </w:p>
        </w:tc>
        <w:tc>
          <w:tcPr>
            <w:tcW w:w="807" w:type="dxa"/>
            <w:tcBorders>
              <w:top w:val="nil"/>
              <w:left w:val="nil"/>
              <w:bottom w:val="single" w:sz="8" w:space="0" w:color="0070C0"/>
              <w:right w:val="nil"/>
            </w:tcBorders>
            <w:shd w:val="clear" w:color="auto" w:fill="auto"/>
            <w:noWrap/>
            <w:vAlign w:val="bottom"/>
            <w:hideMark/>
          </w:tcPr>
          <w:p w14:paraId="54A02C25"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0</w:t>
            </w:r>
          </w:p>
        </w:tc>
        <w:tc>
          <w:tcPr>
            <w:tcW w:w="807" w:type="dxa"/>
            <w:tcBorders>
              <w:top w:val="nil"/>
              <w:left w:val="single" w:sz="8" w:space="0" w:color="0070C0"/>
              <w:bottom w:val="single" w:sz="8" w:space="0" w:color="0070C0"/>
              <w:right w:val="single" w:sz="8" w:space="0" w:color="0070C0"/>
            </w:tcBorders>
            <w:shd w:val="clear" w:color="auto" w:fill="auto"/>
            <w:noWrap/>
            <w:vAlign w:val="bottom"/>
            <w:hideMark/>
          </w:tcPr>
          <w:p w14:paraId="1FCA7C2F"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0</w:t>
            </w:r>
          </w:p>
        </w:tc>
        <w:tc>
          <w:tcPr>
            <w:tcW w:w="807" w:type="dxa"/>
            <w:tcBorders>
              <w:top w:val="nil"/>
              <w:left w:val="nil"/>
              <w:bottom w:val="single" w:sz="8" w:space="0" w:color="0070C0"/>
              <w:right w:val="nil"/>
            </w:tcBorders>
            <w:shd w:val="clear" w:color="auto" w:fill="auto"/>
            <w:noWrap/>
            <w:vAlign w:val="bottom"/>
            <w:hideMark/>
          </w:tcPr>
          <w:p w14:paraId="360ACA67"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0</w:t>
            </w:r>
          </w:p>
        </w:tc>
        <w:tc>
          <w:tcPr>
            <w:tcW w:w="955" w:type="dxa"/>
            <w:tcBorders>
              <w:top w:val="nil"/>
              <w:left w:val="nil"/>
              <w:bottom w:val="single" w:sz="8" w:space="0" w:color="0070C0"/>
              <w:right w:val="nil"/>
            </w:tcBorders>
            <w:shd w:val="clear" w:color="auto" w:fill="auto"/>
            <w:noWrap/>
            <w:vAlign w:val="bottom"/>
            <w:hideMark/>
          </w:tcPr>
          <w:p w14:paraId="57039527"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0</w:t>
            </w:r>
          </w:p>
        </w:tc>
        <w:tc>
          <w:tcPr>
            <w:tcW w:w="922" w:type="dxa"/>
            <w:tcBorders>
              <w:top w:val="nil"/>
              <w:left w:val="nil"/>
              <w:bottom w:val="single" w:sz="8" w:space="0" w:color="0070C0"/>
              <w:right w:val="nil"/>
            </w:tcBorders>
            <w:shd w:val="clear" w:color="auto" w:fill="auto"/>
            <w:noWrap/>
            <w:vAlign w:val="bottom"/>
            <w:hideMark/>
          </w:tcPr>
          <w:p w14:paraId="3F7DDACD"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0</w:t>
            </w:r>
          </w:p>
        </w:tc>
        <w:tc>
          <w:tcPr>
            <w:tcW w:w="724" w:type="dxa"/>
            <w:tcBorders>
              <w:top w:val="nil"/>
              <w:left w:val="nil"/>
              <w:bottom w:val="single" w:sz="8" w:space="0" w:color="0070C0"/>
              <w:right w:val="nil"/>
            </w:tcBorders>
            <w:shd w:val="clear" w:color="auto" w:fill="auto"/>
            <w:noWrap/>
            <w:vAlign w:val="bottom"/>
            <w:hideMark/>
          </w:tcPr>
          <w:p w14:paraId="5A3FB7F2"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88,672</w:t>
            </w:r>
          </w:p>
        </w:tc>
        <w:tc>
          <w:tcPr>
            <w:tcW w:w="807" w:type="dxa"/>
            <w:tcBorders>
              <w:top w:val="nil"/>
              <w:left w:val="single" w:sz="8" w:space="0" w:color="0070C0"/>
              <w:bottom w:val="single" w:sz="8" w:space="0" w:color="0070C0"/>
              <w:right w:val="single" w:sz="8" w:space="0" w:color="0070C0"/>
            </w:tcBorders>
            <w:shd w:val="clear" w:color="auto" w:fill="auto"/>
            <w:noWrap/>
            <w:vAlign w:val="bottom"/>
            <w:hideMark/>
          </w:tcPr>
          <w:p w14:paraId="5980B812" w14:textId="77777777" w:rsidR="00F86741" w:rsidRPr="007337C6" w:rsidRDefault="00F86741"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88,672</w:t>
            </w:r>
          </w:p>
        </w:tc>
      </w:tr>
    </w:tbl>
    <w:p w14:paraId="57FA8596" w14:textId="11407E73" w:rsidR="0061459C" w:rsidRPr="007337C6" w:rsidRDefault="0061459C" w:rsidP="006A07D6">
      <w:pPr>
        <w:rPr>
          <w:rFonts w:ascii="Trebuchet MS" w:hAnsi="Trebuchet MS"/>
        </w:rPr>
      </w:pPr>
      <w:r w:rsidRPr="007337C6">
        <w:rPr>
          <w:rFonts w:ascii="Trebuchet MS" w:hAnsi="Trebuchet MS"/>
        </w:rPr>
        <w:fldChar w:fldCharType="begin"/>
      </w:r>
      <w:r w:rsidRPr="007337C6">
        <w:rPr>
          <w:rFonts w:ascii="Trebuchet MS" w:hAnsi="Trebuchet MS"/>
        </w:rPr>
        <w:instrText xml:space="preserve"> LINK Excel.Sheet.12 "\\\\ukharfap02\\SSHARE\\Actuarial\\BREXIT\\part VII\\2. WORKS\\0. Draft Chief Actuary reports\\AEI\\Supplementary report\\Financials\\Final Final\\tps_ v2 Values.xlsx" "TPs Summary - Ceded RI!R2C2:R21C12" \a \f 4 \h  \* MERGEFORMAT </w:instrText>
      </w:r>
      <w:r w:rsidRPr="007337C6">
        <w:rPr>
          <w:rFonts w:ascii="Trebuchet MS" w:hAnsi="Trebuchet MS"/>
        </w:rPr>
        <w:fldChar w:fldCharType="separate"/>
      </w:r>
    </w:p>
    <w:tbl>
      <w:tblPr>
        <w:tblW w:w="10259" w:type="dxa"/>
        <w:tblLook w:val="04A0" w:firstRow="1" w:lastRow="0" w:firstColumn="1" w:lastColumn="0" w:noHBand="0" w:noVBand="1"/>
      </w:tblPr>
      <w:tblGrid>
        <w:gridCol w:w="1627"/>
        <w:gridCol w:w="728"/>
        <w:gridCol w:w="1055"/>
        <w:gridCol w:w="909"/>
        <w:gridCol w:w="796"/>
        <w:gridCol w:w="795"/>
        <w:gridCol w:w="795"/>
        <w:gridCol w:w="1055"/>
        <w:gridCol w:w="974"/>
        <w:gridCol w:w="730"/>
        <w:gridCol w:w="795"/>
      </w:tblGrid>
      <w:tr w:rsidR="0061459C" w:rsidRPr="007337C6" w14:paraId="12C1208D" w14:textId="77777777" w:rsidTr="008F50C3">
        <w:trPr>
          <w:trHeight w:val="261"/>
        </w:trPr>
        <w:tc>
          <w:tcPr>
            <w:tcW w:w="2355" w:type="dxa"/>
            <w:gridSpan w:val="2"/>
            <w:tcBorders>
              <w:top w:val="nil"/>
              <w:left w:val="nil"/>
              <w:bottom w:val="nil"/>
              <w:right w:val="nil"/>
            </w:tcBorders>
            <w:shd w:val="clear" w:color="auto" w:fill="auto"/>
            <w:noWrap/>
            <w:vAlign w:val="bottom"/>
            <w:hideMark/>
          </w:tcPr>
          <w:p w14:paraId="034456B2" w14:textId="442EF1AE" w:rsidR="0061459C" w:rsidRPr="007337C6" w:rsidRDefault="0061459C" w:rsidP="00165C01">
            <w:pPr>
              <w:spacing w:after="0" w:line="240" w:lineRule="auto"/>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 xml:space="preserve">Ceded RI </w:t>
            </w:r>
            <w:proofErr w:type="spellStart"/>
            <w:r w:rsidRPr="007337C6">
              <w:rPr>
                <w:rFonts w:ascii="Trebuchet MS" w:eastAsia="Times New Roman" w:hAnsi="Trebuchet MS" w:cs="Times New Roman"/>
                <w:color w:val="000000"/>
                <w:sz w:val="16"/>
                <w:szCs w:val="16"/>
                <w:lang w:eastAsia="en-GB"/>
              </w:rPr>
              <w:t>TPs</w:t>
            </w:r>
            <w:proofErr w:type="spellEnd"/>
            <w:r w:rsidRPr="007337C6">
              <w:rPr>
                <w:rFonts w:ascii="Trebuchet MS" w:eastAsia="Times New Roman" w:hAnsi="Trebuchet MS" w:cs="Times New Roman"/>
                <w:color w:val="000000"/>
                <w:sz w:val="16"/>
                <w:szCs w:val="16"/>
                <w:lang w:eastAsia="en-GB"/>
              </w:rPr>
              <w:t xml:space="preserve"> £000s</w:t>
            </w:r>
          </w:p>
        </w:tc>
        <w:tc>
          <w:tcPr>
            <w:tcW w:w="1055" w:type="dxa"/>
            <w:tcBorders>
              <w:top w:val="nil"/>
              <w:left w:val="nil"/>
              <w:bottom w:val="nil"/>
              <w:right w:val="nil"/>
            </w:tcBorders>
            <w:shd w:val="clear" w:color="auto" w:fill="auto"/>
            <w:noWrap/>
            <w:vAlign w:val="bottom"/>
            <w:hideMark/>
          </w:tcPr>
          <w:p w14:paraId="6FBEA16F" w14:textId="77777777" w:rsidR="0061459C" w:rsidRPr="007337C6" w:rsidRDefault="0061459C" w:rsidP="00165C01">
            <w:pPr>
              <w:spacing w:after="0" w:line="240" w:lineRule="auto"/>
              <w:rPr>
                <w:rFonts w:ascii="Trebuchet MS" w:eastAsia="Times New Roman" w:hAnsi="Trebuchet MS" w:cs="Times New Roman"/>
                <w:color w:val="000000"/>
                <w:sz w:val="16"/>
                <w:szCs w:val="16"/>
                <w:lang w:eastAsia="en-GB"/>
              </w:rPr>
            </w:pPr>
          </w:p>
        </w:tc>
        <w:tc>
          <w:tcPr>
            <w:tcW w:w="909" w:type="dxa"/>
            <w:tcBorders>
              <w:top w:val="nil"/>
              <w:left w:val="nil"/>
              <w:bottom w:val="nil"/>
              <w:right w:val="nil"/>
            </w:tcBorders>
            <w:shd w:val="clear" w:color="auto" w:fill="auto"/>
            <w:noWrap/>
            <w:vAlign w:val="bottom"/>
            <w:hideMark/>
          </w:tcPr>
          <w:p w14:paraId="7F44170F" w14:textId="77777777" w:rsidR="0061459C" w:rsidRPr="007337C6" w:rsidRDefault="0061459C" w:rsidP="00165C01">
            <w:pPr>
              <w:spacing w:after="0" w:line="240" w:lineRule="auto"/>
              <w:rPr>
                <w:rFonts w:ascii="Trebuchet MS" w:eastAsia="Times New Roman" w:hAnsi="Trebuchet MS" w:cs="Times New Roman"/>
                <w:sz w:val="16"/>
                <w:szCs w:val="16"/>
                <w:lang w:eastAsia="en-GB"/>
              </w:rPr>
            </w:pPr>
          </w:p>
        </w:tc>
        <w:tc>
          <w:tcPr>
            <w:tcW w:w="796" w:type="dxa"/>
            <w:tcBorders>
              <w:top w:val="nil"/>
              <w:left w:val="nil"/>
              <w:bottom w:val="nil"/>
              <w:right w:val="nil"/>
            </w:tcBorders>
            <w:shd w:val="clear" w:color="auto" w:fill="auto"/>
            <w:noWrap/>
            <w:vAlign w:val="bottom"/>
            <w:hideMark/>
          </w:tcPr>
          <w:p w14:paraId="72359567" w14:textId="77777777" w:rsidR="0061459C" w:rsidRPr="007337C6" w:rsidRDefault="0061459C" w:rsidP="00165C01">
            <w:pPr>
              <w:spacing w:after="0" w:line="240" w:lineRule="auto"/>
              <w:rPr>
                <w:rFonts w:ascii="Trebuchet MS" w:eastAsia="Times New Roman" w:hAnsi="Trebuchet MS" w:cs="Times New Roman"/>
                <w:sz w:val="16"/>
                <w:szCs w:val="16"/>
                <w:lang w:eastAsia="en-GB"/>
              </w:rPr>
            </w:pPr>
          </w:p>
        </w:tc>
        <w:tc>
          <w:tcPr>
            <w:tcW w:w="795" w:type="dxa"/>
            <w:tcBorders>
              <w:top w:val="nil"/>
              <w:left w:val="nil"/>
              <w:bottom w:val="nil"/>
              <w:right w:val="nil"/>
            </w:tcBorders>
            <w:shd w:val="clear" w:color="auto" w:fill="auto"/>
            <w:noWrap/>
            <w:vAlign w:val="bottom"/>
            <w:hideMark/>
          </w:tcPr>
          <w:p w14:paraId="0CB19379" w14:textId="77777777" w:rsidR="0061459C" w:rsidRPr="007337C6" w:rsidRDefault="0061459C" w:rsidP="00165C01">
            <w:pPr>
              <w:spacing w:after="0" w:line="240" w:lineRule="auto"/>
              <w:rPr>
                <w:rFonts w:ascii="Trebuchet MS" w:eastAsia="Times New Roman" w:hAnsi="Trebuchet MS" w:cs="Times New Roman"/>
                <w:sz w:val="16"/>
                <w:szCs w:val="16"/>
                <w:lang w:eastAsia="en-GB"/>
              </w:rPr>
            </w:pPr>
          </w:p>
        </w:tc>
        <w:tc>
          <w:tcPr>
            <w:tcW w:w="795" w:type="dxa"/>
            <w:tcBorders>
              <w:top w:val="nil"/>
              <w:left w:val="nil"/>
              <w:bottom w:val="nil"/>
              <w:right w:val="nil"/>
            </w:tcBorders>
            <w:shd w:val="clear" w:color="auto" w:fill="auto"/>
            <w:noWrap/>
            <w:vAlign w:val="bottom"/>
            <w:hideMark/>
          </w:tcPr>
          <w:p w14:paraId="13733099" w14:textId="77777777" w:rsidR="0061459C" w:rsidRPr="007337C6" w:rsidRDefault="0061459C" w:rsidP="00165C01">
            <w:pPr>
              <w:spacing w:after="0" w:line="240" w:lineRule="auto"/>
              <w:rPr>
                <w:rFonts w:ascii="Trebuchet MS" w:eastAsia="Times New Roman" w:hAnsi="Trebuchet MS" w:cs="Times New Roman"/>
                <w:sz w:val="16"/>
                <w:szCs w:val="16"/>
                <w:lang w:eastAsia="en-GB"/>
              </w:rPr>
            </w:pPr>
          </w:p>
        </w:tc>
        <w:tc>
          <w:tcPr>
            <w:tcW w:w="1055" w:type="dxa"/>
            <w:tcBorders>
              <w:top w:val="nil"/>
              <w:left w:val="nil"/>
              <w:bottom w:val="nil"/>
              <w:right w:val="nil"/>
            </w:tcBorders>
            <w:shd w:val="clear" w:color="auto" w:fill="auto"/>
            <w:noWrap/>
            <w:vAlign w:val="bottom"/>
            <w:hideMark/>
          </w:tcPr>
          <w:p w14:paraId="451C146E" w14:textId="77777777" w:rsidR="0061459C" w:rsidRPr="007337C6" w:rsidRDefault="0061459C" w:rsidP="00165C01">
            <w:pPr>
              <w:spacing w:after="0" w:line="240" w:lineRule="auto"/>
              <w:rPr>
                <w:rFonts w:ascii="Trebuchet MS" w:eastAsia="Times New Roman" w:hAnsi="Trebuchet MS" w:cs="Times New Roman"/>
                <w:sz w:val="16"/>
                <w:szCs w:val="16"/>
                <w:lang w:eastAsia="en-GB"/>
              </w:rPr>
            </w:pPr>
          </w:p>
        </w:tc>
        <w:tc>
          <w:tcPr>
            <w:tcW w:w="974" w:type="dxa"/>
            <w:tcBorders>
              <w:top w:val="nil"/>
              <w:left w:val="nil"/>
              <w:bottom w:val="nil"/>
              <w:right w:val="nil"/>
            </w:tcBorders>
            <w:shd w:val="clear" w:color="auto" w:fill="auto"/>
            <w:noWrap/>
            <w:vAlign w:val="bottom"/>
            <w:hideMark/>
          </w:tcPr>
          <w:p w14:paraId="6148984D" w14:textId="77777777" w:rsidR="0061459C" w:rsidRPr="007337C6" w:rsidRDefault="0061459C" w:rsidP="00165C01">
            <w:pPr>
              <w:spacing w:after="0" w:line="240" w:lineRule="auto"/>
              <w:rPr>
                <w:rFonts w:ascii="Trebuchet MS" w:eastAsia="Times New Roman" w:hAnsi="Trebuchet MS" w:cs="Times New Roman"/>
                <w:sz w:val="16"/>
                <w:szCs w:val="16"/>
                <w:lang w:eastAsia="en-GB"/>
              </w:rPr>
            </w:pPr>
          </w:p>
        </w:tc>
        <w:tc>
          <w:tcPr>
            <w:tcW w:w="730" w:type="dxa"/>
            <w:tcBorders>
              <w:top w:val="nil"/>
              <w:left w:val="nil"/>
              <w:bottom w:val="nil"/>
              <w:right w:val="nil"/>
            </w:tcBorders>
            <w:shd w:val="clear" w:color="auto" w:fill="auto"/>
            <w:noWrap/>
            <w:vAlign w:val="bottom"/>
            <w:hideMark/>
          </w:tcPr>
          <w:p w14:paraId="3907A1BB" w14:textId="77777777" w:rsidR="0061459C" w:rsidRPr="007337C6" w:rsidRDefault="0061459C" w:rsidP="00165C01">
            <w:pPr>
              <w:spacing w:after="0" w:line="240" w:lineRule="auto"/>
              <w:rPr>
                <w:rFonts w:ascii="Trebuchet MS" w:eastAsia="Times New Roman" w:hAnsi="Trebuchet MS" w:cs="Times New Roman"/>
                <w:sz w:val="16"/>
                <w:szCs w:val="16"/>
                <w:lang w:eastAsia="en-GB"/>
              </w:rPr>
            </w:pPr>
          </w:p>
        </w:tc>
        <w:tc>
          <w:tcPr>
            <w:tcW w:w="795" w:type="dxa"/>
            <w:tcBorders>
              <w:top w:val="nil"/>
              <w:left w:val="nil"/>
              <w:bottom w:val="nil"/>
              <w:right w:val="nil"/>
            </w:tcBorders>
            <w:shd w:val="clear" w:color="auto" w:fill="auto"/>
            <w:noWrap/>
            <w:vAlign w:val="bottom"/>
            <w:hideMark/>
          </w:tcPr>
          <w:p w14:paraId="74D46204" w14:textId="77777777" w:rsidR="0061459C" w:rsidRPr="007337C6" w:rsidRDefault="0061459C" w:rsidP="00165C01">
            <w:pPr>
              <w:spacing w:after="0" w:line="240" w:lineRule="auto"/>
              <w:rPr>
                <w:rFonts w:ascii="Trebuchet MS" w:eastAsia="Times New Roman" w:hAnsi="Trebuchet MS" w:cs="Times New Roman"/>
                <w:sz w:val="16"/>
                <w:szCs w:val="16"/>
                <w:lang w:eastAsia="en-GB"/>
              </w:rPr>
            </w:pPr>
          </w:p>
        </w:tc>
      </w:tr>
      <w:tr w:rsidR="0061459C" w:rsidRPr="007337C6" w14:paraId="46011AA2" w14:textId="77777777" w:rsidTr="008F50C3">
        <w:trPr>
          <w:trHeight w:val="272"/>
        </w:trPr>
        <w:tc>
          <w:tcPr>
            <w:tcW w:w="1627" w:type="dxa"/>
            <w:tcBorders>
              <w:top w:val="nil"/>
              <w:left w:val="nil"/>
              <w:bottom w:val="nil"/>
              <w:right w:val="nil"/>
            </w:tcBorders>
            <w:shd w:val="clear" w:color="auto" w:fill="auto"/>
            <w:noWrap/>
            <w:vAlign w:val="bottom"/>
            <w:hideMark/>
          </w:tcPr>
          <w:p w14:paraId="160A86AF" w14:textId="77777777" w:rsidR="0061459C" w:rsidRPr="007337C6" w:rsidRDefault="0061459C" w:rsidP="00165C01">
            <w:pPr>
              <w:spacing w:after="0" w:line="240" w:lineRule="auto"/>
              <w:rPr>
                <w:rFonts w:ascii="Trebuchet MS" w:eastAsia="Times New Roman" w:hAnsi="Trebuchet MS" w:cs="Times New Roman"/>
                <w:sz w:val="16"/>
                <w:szCs w:val="16"/>
                <w:lang w:eastAsia="en-GB"/>
              </w:rPr>
            </w:pPr>
          </w:p>
        </w:tc>
        <w:tc>
          <w:tcPr>
            <w:tcW w:w="2692" w:type="dxa"/>
            <w:gridSpan w:val="3"/>
            <w:tcBorders>
              <w:top w:val="single" w:sz="8" w:space="0" w:color="0070C0"/>
              <w:left w:val="single" w:sz="8" w:space="0" w:color="0070C0"/>
              <w:bottom w:val="single" w:sz="8" w:space="0" w:color="0070C0"/>
              <w:right w:val="single" w:sz="8" w:space="0" w:color="0070C0"/>
            </w:tcBorders>
            <w:shd w:val="clear" w:color="auto" w:fill="auto"/>
            <w:noWrap/>
            <w:vAlign w:val="center"/>
            <w:hideMark/>
          </w:tcPr>
          <w:p w14:paraId="2CDDA9AA" w14:textId="77777777" w:rsidR="0061459C" w:rsidRPr="007337C6" w:rsidRDefault="0061459C" w:rsidP="00165C01">
            <w:pPr>
              <w:spacing w:after="0" w:line="240" w:lineRule="auto"/>
              <w:jc w:val="center"/>
              <w:rPr>
                <w:rFonts w:ascii="Trebuchet MS" w:eastAsia="Times New Roman" w:hAnsi="Trebuchet MS" w:cs="Times New Roman"/>
                <w:color w:val="0070C0"/>
                <w:sz w:val="16"/>
                <w:szCs w:val="16"/>
                <w:lang w:eastAsia="en-GB"/>
              </w:rPr>
            </w:pPr>
            <w:r w:rsidRPr="007337C6">
              <w:rPr>
                <w:rFonts w:ascii="Trebuchet MS" w:eastAsia="Times New Roman" w:hAnsi="Trebuchet MS" w:cs="Times New Roman"/>
                <w:color w:val="0070C0"/>
                <w:sz w:val="16"/>
                <w:szCs w:val="16"/>
                <w:lang w:eastAsia="en-GB"/>
              </w:rPr>
              <w:t>Before Scheme</w:t>
            </w:r>
          </w:p>
        </w:tc>
        <w:tc>
          <w:tcPr>
            <w:tcW w:w="2386" w:type="dxa"/>
            <w:gridSpan w:val="3"/>
            <w:tcBorders>
              <w:top w:val="single" w:sz="8" w:space="0" w:color="0070C0"/>
              <w:left w:val="nil"/>
              <w:bottom w:val="single" w:sz="8" w:space="0" w:color="0070C0"/>
              <w:right w:val="single" w:sz="8" w:space="0" w:color="0070C0"/>
            </w:tcBorders>
            <w:shd w:val="clear" w:color="auto" w:fill="auto"/>
            <w:noWrap/>
            <w:vAlign w:val="center"/>
            <w:hideMark/>
          </w:tcPr>
          <w:p w14:paraId="4EC29A2D" w14:textId="77777777" w:rsidR="0061459C" w:rsidRPr="007337C6" w:rsidRDefault="0061459C" w:rsidP="00165C01">
            <w:pPr>
              <w:spacing w:after="0" w:line="240" w:lineRule="auto"/>
              <w:jc w:val="center"/>
              <w:rPr>
                <w:rFonts w:ascii="Trebuchet MS" w:eastAsia="Times New Roman" w:hAnsi="Trebuchet MS" w:cs="Times New Roman"/>
                <w:color w:val="0070C0"/>
                <w:sz w:val="16"/>
                <w:szCs w:val="16"/>
                <w:lang w:eastAsia="en-GB"/>
              </w:rPr>
            </w:pPr>
            <w:r w:rsidRPr="007337C6">
              <w:rPr>
                <w:rFonts w:ascii="Trebuchet MS" w:eastAsia="Times New Roman" w:hAnsi="Trebuchet MS" w:cs="Times New Roman"/>
                <w:color w:val="0070C0"/>
                <w:sz w:val="16"/>
                <w:szCs w:val="16"/>
                <w:lang w:eastAsia="en-GB"/>
              </w:rPr>
              <w:t>After Scheme</w:t>
            </w:r>
          </w:p>
        </w:tc>
        <w:tc>
          <w:tcPr>
            <w:tcW w:w="1055" w:type="dxa"/>
            <w:tcBorders>
              <w:top w:val="nil"/>
              <w:left w:val="nil"/>
              <w:bottom w:val="nil"/>
              <w:right w:val="nil"/>
            </w:tcBorders>
            <w:shd w:val="clear" w:color="auto" w:fill="auto"/>
            <w:noWrap/>
            <w:vAlign w:val="bottom"/>
            <w:hideMark/>
          </w:tcPr>
          <w:p w14:paraId="1AA18BC3" w14:textId="77777777" w:rsidR="0061459C" w:rsidRPr="007337C6" w:rsidRDefault="0061459C" w:rsidP="00165C01">
            <w:pPr>
              <w:spacing w:after="0" w:line="240" w:lineRule="auto"/>
              <w:jc w:val="center"/>
              <w:rPr>
                <w:rFonts w:ascii="Trebuchet MS" w:eastAsia="Times New Roman" w:hAnsi="Trebuchet MS" w:cs="Times New Roman"/>
                <w:color w:val="0070C0"/>
                <w:sz w:val="16"/>
                <w:szCs w:val="16"/>
                <w:lang w:eastAsia="en-GB"/>
              </w:rPr>
            </w:pPr>
          </w:p>
        </w:tc>
        <w:tc>
          <w:tcPr>
            <w:tcW w:w="974" w:type="dxa"/>
            <w:tcBorders>
              <w:top w:val="nil"/>
              <w:left w:val="nil"/>
              <w:bottom w:val="nil"/>
              <w:right w:val="nil"/>
            </w:tcBorders>
            <w:shd w:val="clear" w:color="auto" w:fill="auto"/>
            <w:noWrap/>
            <w:vAlign w:val="bottom"/>
            <w:hideMark/>
          </w:tcPr>
          <w:p w14:paraId="427B8265" w14:textId="77777777" w:rsidR="0061459C" w:rsidRPr="007337C6" w:rsidRDefault="0061459C" w:rsidP="00165C01">
            <w:pPr>
              <w:spacing w:after="0" w:line="240" w:lineRule="auto"/>
              <w:rPr>
                <w:rFonts w:ascii="Trebuchet MS" w:eastAsia="Times New Roman" w:hAnsi="Trebuchet MS" w:cs="Times New Roman"/>
                <w:sz w:val="16"/>
                <w:szCs w:val="16"/>
                <w:lang w:eastAsia="en-GB"/>
              </w:rPr>
            </w:pPr>
          </w:p>
        </w:tc>
        <w:tc>
          <w:tcPr>
            <w:tcW w:w="730" w:type="dxa"/>
            <w:tcBorders>
              <w:top w:val="nil"/>
              <w:left w:val="nil"/>
              <w:bottom w:val="nil"/>
              <w:right w:val="nil"/>
            </w:tcBorders>
            <w:shd w:val="clear" w:color="auto" w:fill="auto"/>
            <w:noWrap/>
            <w:vAlign w:val="bottom"/>
            <w:hideMark/>
          </w:tcPr>
          <w:p w14:paraId="17462C45" w14:textId="77777777" w:rsidR="0061459C" w:rsidRPr="007337C6" w:rsidRDefault="0061459C" w:rsidP="00165C01">
            <w:pPr>
              <w:spacing w:after="0" w:line="240" w:lineRule="auto"/>
              <w:rPr>
                <w:rFonts w:ascii="Trebuchet MS" w:eastAsia="Times New Roman" w:hAnsi="Trebuchet MS" w:cs="Times New Roman"/>
                <w:sz w:val="16"/>
                <w:szCs w:val="16"/>
                <w:lang w:eastAsia="en-GB"/>
              </w:rPr>
            </w:pPr>
          </w:p>
        </w:tc>
        <w:tc>
          <w:tcPr>
            <w:tcW w:w="795" w:type="dxa"/>
            <w:tcBorders>
              <w:top w:val="nil"/>
              <w:left w:val="nil"/>
              <w:bottom w:val="nil"/>
              <w:right w:val="nil"/>
            </w:tcBorders>
            <w:shd w:val="clear" w:color="auto" w:fill="auto"/>
            <w:noWrap/>
            <w:vAlign w:val="bottom"/>
            <w:hideMark/>
          </w:tcPr>
          <w:p w14:paraId="7A1D02CB" w14:textId="77777777" w:rsidR="0061459C" w:rsidRPr="007337C6" w:rsidRDefault="0061459C" w:rsidP="00165C01">
            <w:pPr>
              <w:spacing w:after="0" w:line="240" w:lineRule="auto"/>
              <w:rPr>
                <w:rFonts w:ascii="Trebuchet MS" w:eastAsia="Times New Roman" w:hAnsi="Trebuchet MS" w:cs="Times New Roman"/>
                <w:sz w:val="16"/>
                <w:szCs w:val="16"/>
                <w:lang w:eastAsia="en-GB"/>
              </w:rPr>
            </w:pPr>
          </w:p>
        </w:tc>
      </w:tr>
      <w:tr w:rsidR="0061459C" w:rsidRPr="007337C6" w14:paraId="687D8C4F" w14:textId="77777777" w:rsidTr="008F50C3">
        <w:trPr>
          <w:trHeight w:val="293"/>
        </w:trPr>
        <w:tc>
          <w:tcPr>
            <w:tcW w:w="1627" w:type="dxa"/>
            <w:tcBorders>
              <w:top w:val="nil"/>
              <w:left w:val="nil"/>
              <w:bottom w:val="nil"/>
              <w:right w:val="nil"/>
            </w:tcBorders>
            <w:shd w:val="clear" w:color="auto" w:fill="auto"/>
            <w:noWrap/>
            <w:vAlign w:val="center"/>
            <w:hideMark/>
          </w:tcPr>
          <w:p w14:paraId="3367A07A" w14:textId="77777777" w:rsidR="0061459C" w:rsidRPr="007337C6" w:rsidRDefault="0061459C" w:rsidP="00165C01">
            <w:pPr>
              <w:spacing w:after="0" w:line="240" w:lineRule="auto"/>
              <w:jc w:val="center"/>
              <w:rPr>
                <w:rFonts w:ascii="Trebuchet MS" w:eastAsia="Times New Roman" w:hAnsi="Trebuchet MS" w:cs="Times New Roman"/>
                <w:b/>
                <w:bCs/>
                <w:color w:val="000000"/>
                <w:sz w:val="16"/>
                <w:szCs w:val="16"/>
                <w:lang w:eastAsia="en-GB"/>
              </w:rPr>
            </w:pPr>
            <w:r w:rsidRPr="007337C6">
              <w:rPr>
                <w:rFonts w:ascii="Trebuchet MS" w:eastAsia="Times New Roman" w:hAnsi="Trebuchet MS" w:cs="Times New Roman"/>
                <w:b/>
                <w:bCs/>
                <w:color w:val="000000"/>
                <w:sz w:val="16"/>
                <w:szCs w:val="16"/>
                <w:lang w:eastAsia="en-GB"/>
              </w:rPr>
              <w:t>AGIL</w:t>
            </w:r>
          </w:p>
        </w:tc>
        <w:tc>
          <w:tcPr>
            <w:tcW w:w="728" w:type="dxa"/>
            <w:tcBorders>
              <w:top w:val="nil"/>
              <w:left w:val="single" w:sz="8" w:space="0" w:color="0070C0"/>
              <w:bottom w:val="single" w:sz="8" w:space="0" w:color="0070C0"/>
              <w:right w:val="nil"/>
            </w:tcBorders>
            <w:shd w:val="clear" w:color="auto" w:fill="auto"/>
            <w:noWrap/>
            <w:vAlign w:val="center"/>
            <w:hideMark/>
          </w:tcPr>
          <w:p w14:paraId="29844A2E" w14:textId="77777777" w:rsidR="0061459C" w:rsidRPr="007337C6" w:rsidRDefault="0061459C" w:rsidP="00165C01">
            <w:pPr>
              <w:spacing w:after="0" w:line="240" w:lineRule="auto"/>
              <w:jc w:val="right"/>
              <w:rPr>
                <w:rFonts w:ascii="Trebuchet MS" w:eastAsia="Times New Roman" w:hAnsi="Trebuchet MS" w:cs="Times New Roman"/>
                <w:color w:val="0070C0"/>
                <w:sz w:val="16"/>
                <w:szCs w:val="16"/>
                <w:lang w:eastAsia="en-GB"/>
              </w:rPr>
            </w:pPr>
            <w:r w:rsidRPr="007337C6">
              <w:rPr>
                <w:rFonts w:ascii="Trebuchet MS" w:eastAsia="Times New Roman" w:hAnsi="Trebuchet MS" w:cs="Times New Roman"/>
                <w:color w:val="0070C0"/>
                <w:sz w:val="16"/>
                <w:szCs w:val="16"/>
                <w:lang w:eastAsia="en-GB"/>
              </w:rPr>
              <w:t>UK</w:t>
            </w:r>
          </w:p>
        </w:tc>
        <w:tc>
          <w:tcPr>
            <w:tcW w:w="1055" w:type="dxa"/>
            <w:tcBorders>
              <w:top w:val="nil"/>
              <w:left w:val="nil"/>
              <w:bottom w:val="single" w:sz="8" w:space="0" w:color="0070C0"/>
              <w:right w:val="nil"/>
            </w:tcBorders>
            <w:shd w:val="clear" w:color="auto" w:fill="auto"/>
            <w:noWrap/>
            <w:vAlign w:val="center"/>
            <w:hideMark/>
          </w:tcPr>
          <w:p w14:paraId="531E82BA" w14:textId="77777777" w:rsidR="0061459C" w:rsidRPr="007337C6" w:rsidRDefault="0061459C" w:rsidP="00165C01">
            <w:pPr>
              <w:spacing w:after="0" w:line="240" w:lineRule="auto"/>
              <w:jc w:val="right"/>
              <w:rPr>
                <w:rFonts w:ascii="Trebuchet MS" w:eastAsia="Times New Roman" w:hAnsi="Trebuchet MS" w:cs="Times New Roman"/>
                <w:color w:val="0070C0"/>
                <w:sz w:val="16"/>
                <w:szCs w:val="16"/>
                <w:lang w:eastAsia="en-GB"/>
              </w:rPr>
            </w:pPr>
            <w:r w:rsidRPr="007337C6">
              <w:rPr>
                <w:rFonts w:ascii="Trebuchet MS" w:eastAsia="Times New Roman" w:hAnsi="Trebuchet MS" w:cs="Times New Roman"/>
                <w:color w:val="0070C0"/>
                <w:sz w:val="16"/>
                <w:szCs w:val="16"/>
                <w:lang w:eastAsia="en-GB"/>
              </w:rPr>
              <w:t>EU</w:t>
            </w:r>
          </w:p>
        </w:tc>
        <w:tc>
          <w:tcPr>
            <w:tcW w:w="909" w:type="dxa"/>
            <w:tcBorders>
              <w:top w:val="nil"/>
              <w:left w:val="single" w:sz="8" w:space="0" w:color="0070C0"/>
              <w:bottom w:val="single" w:sz="8" w:space="0" w:color="0070C0"/>
              <w:right w:val="single" w:sz="8" w:space="0" w:color="0070C0"/>
            </w:tcBorders>
            <w:shd w:val="clear" w:color="auto" w:fill="auto"/>
            <w:noWrap/>
            <w:vAlign w:val="center"/>
            <w:hideMark/>
          </w:tcPr>
          <w:p w14:paraId="548A065E" w14:textId="77777777" w:rsidR="0061459C" w:rsidRPr="007337C6" w:rsidRDefault="0061459C" w:rsidP="00165C01">
            <w:pPr>
              <w:spacing w:after="0" w:line="240" w:lineRule="auto"/>
              <w:jc w:val="right"/>
              <w:rPr>
                <w:rFonts w:ascii="Trebuchet MS" w:eastAsia="Times New Roman" w:hAnsi="Trebuchet MS" w:cs="Times New Roman"/>
                <w:color w:val="0070C0"/>
                <w:sz w:val="16"/>
                <w:szCs w:val="16"/>
                <w:lang w:eastAsia="en-GB"/>
              </w:rPr>
            </w:pPr>
            <w:r w:rsidRPr="007337C6">
              <w:rPr>
                <w:rFonts w:ascii="Trebuchet MS" w:eastAsia="Times New Roman" w:hAnsi="Trebuchet MS" w:cs="Times New Roman"/>
                <w:color w:val="0070C0"/>
                <w:sz w:val="16"/>
                <w:szCs w:val="16"/>
                <w:lang w:eastAsia="en-GB"/>
              </w:rPr>
              <w:t>Total</w:t>
            </w:r>
          </w:p>
        </w:tc>
        <w:tc>
          <w:tcPr>
            <w:tcW w:w="796" w:type="dxa"/>
            <w:tcBorders>
              <w:top w:val="nil"/>
              <w:left w:val="nil"/>
              <w:bottom w:val="single" w:sz="8" w:space="0" w:color="0070C0"/>
              <w:right w:val="nil"/>
            </w:tcBorders>
            <w:shd w:val="clear" w:color="auto" w:fill="auto"/>
            <w:noWrap/>
            <w:vAlign w:val="center"/>
            <w:hideMark/>
          </w:tcPr>
          <w:p w14:paraId="4E231419" w14:textId="77777777" w:rsidR="0061459C" w:rsidRPr="007337C6" w:rsidRDefault="0061459C" w:rsidP="00165C01">
            <w:pPr>
              <w:spacing w:after="0" w:line="240" w:lineRule="auto"/>
              <w:jc w:val="right"/>
              <w:rPr>
                <w:rFonts w:ascii="Trebuchet MS" w:eastAsia="Times New Roman" w:hAnsi="Trebuchet MS" w:cs="Times New Roman"/>
                <w:color w:val="0070C0"/>
                <w:sz w:val="16"/>
                <w:szCs w:val="16"/>
                <w:lang w:eastAsia="en-GB"/>
              </w:rPr>
            </w:pPr>
            <w:r w:rsidRPr="007337C6">
              <w:rPr>
                <w:rFonts w:ascii="Trebuchet MS" w:eastAsia="Times New Roman" w:hAnsi="Trebuchet MS" w:cs="Times New Roman"/>
                <w:color w:val="0070C0"/>
                <w:sz w:val="16"/>
                <w:szCs w:val="16"/>
                <w:lang w:eastAsia="en-GB"/>
              </w:rPr>
              <w:t>UK</w:t>
            </w:r>
          </w:p>
        </w:tc>
        <w:tc>
          <w:tcPr>
            <w:tcW w:w="795" w:type="dxa"/>
            <w:tcBorders>
              <w:top w:val="nil"/>
              <w:left w:val="nil"/>
              <w:bottom w:val="single" w:sz="8" w:space="0" w:color="0070C0"/>
              <w:right w:val="nil"/>
            </w:tcBorders>
            <w:shd w:val="clear" w:color="auto" w:fill="auto"/>
            <w:noWrap/>
            <w:vAlign w:val="center"/>
            <w:hideMark/>
          </w:tcPr>
          <w:p w14:paraId="32C6D5A7" w14:textId="77777777" w:rsidR="0061459C" w:rsidRPr="007337C6" w:rsidRDefault="0061459C" w:rsidP="00165C01">
            <w:pPr>
              <w:spacing w:after="0" w:line="240" w:lineRule="auto"/>
              <w:jc w:val="right"/>
              <w:rPr>
                <w:rFonts w:ascii="Trebuchet MS" w:eastAsia="Times New Roman" w:hAnsi="Trebuchet MS" w:cs="Times New Roman"/>
                <w:color w:val="0070C0"/>
                <w:sz w:val="16"/>
                <w:szCs w:val="16"/>
                <w:lang w:eastAsia="en-GB"/>
              </w:rPr>
            </w:pPr>
            <w:r w:rsidRPr="007337C6">
              <w:rPr>
                <w:rFonts w:ascii="Trebuchet MS" w:eastAsia="Times New Roman" w:hAnsi="Trebuchet MS" w:cs="Times New Roman"/>
                <w:color w:val="0070C0"/>
                <w:sz w:val="16"/>
                <w:szCs w:val="16"/>
                <w:lang w:eastAsia="en-GB"/>
              </w:rPr>
              <w:t>EU</w:t>
            </w:r>
          </w:p>
        </w:tc>
        <w:tc>
          <w:tcPr>
            <w:tcW w:w="795" w:type="dxa"/>
            <w:tcBorders>
              <w:top w:val="nil"/>
              <w:left w:val="single" w:sz="8" w:space="0" w:color="0070C0"/>
              <w:bottom w:val="single" w:sz="8" w:space="0" w:color="0070C0"/>
              <w:right w:val="single" w:sz="8" w:space="0" w:color="0070C0"/>
            </w:tcBorders>
            <w:shd w:val="clear" w:color="auto" w:fill="auto"/>
            <w:noWrap/>
            <w:vAlign w:val="center"/>
            <w:hideMark/>
          </w:tcPr>
          <w:p w14:paraId="10FF47F4" w14:textId="77777777" w:rsidR="0061459C" w:rsidRPr="007337C6" w:rsidRDefault="0061459C" w:rsidP="00165C01">
            <w:pPr>
              <w:spacing w:after="0" w:line="240" w:lineRule="auto"/>
              <w:jc w:val="right"/>
              <w:rPr>
                <w:rFonts w:ascii="Trebuchet MS" w:eastAsia="Times New Roman" w:hAnsi="Trebuchet MS" w:cs="Times New Roman"/>
                <w:color w:val="0070C0"/>
                <w:sz w:val="16"/>
                <w:szCs w:val="16"/>
                <w:lang w:eastAsia="en-GB"/>
              </w:rPr>
            </w:pPr>
            <w:r w:rsidRPr="007337C6">
              <w:rPr>
                <w:rFonts w:ascii="Trebuchet MS" w:eastAsia="Times New Roman" w:hAnsi="Trebuchet MS" w:cs="Times New Roman"/>
                <w:color w:val="0070C0"/>
                <w:sz w:val="16"/>
                <w:szCs w:val="16"/>
                <w:lang w:eastAsia="en-GB"/>
              </w:rPr>
              <w:t>Total</w:t>
            </w:r>
          </w:p>
        </w:tc>
        <w:tc>
          <w:tcPr>
            <w:tcW w:w="1055" w:type="dxa"/>
            <w:tcBorders>
              <w:top w:val="nil"/>
              <w:left w:val="nil"/>
              <w:bottom w:val="nil"/>
              <w:right w:val="nil"/>
            </w:tcBorders>
            <w:shd w:val="clear" w:color="auto" w:fill="auto"/>
            <w:noWrap/>
            <w:vAlign w:val="bottom"/>
            <w:hideMark/>
          </w:tcPr>
          <w:p w14:paraId="2C781EC7" w14:textId="77777777" w:rsidR="0061459C" w:rsidRPr="007337C6" w:rsidRDefault="0061459C" w:rsidP="00165C01">
            <w:pPr>
              <w:spacing w:after="0" w:line="240" w:lineRule="auto"/>
              <w:jc w:val="right"/>
              <w:rPr>
                <w:rFonts w:ascii="Trebuchet MS" w:eastAsia="Times New Roman" w:hAnsi="Trebuchet MS" w:cs="Times New Roman"/>
                <w:color w:val="0070C0"/>
                <w:sz w:val="16"/>
                <w:szCs w:val="16"/>
                <w:lang w:eastAsia="en-GB"/>
              </w:rPr>
            </w:pPr>
          </w:p>
        </w:tc>
        <w:tc>
          <w:tcPr>
            <w:tcW w:w="974" w:type="dxa"/>
            <w:tcBorders>
              <w:top w:val="nil"/>
              <w:left w:val="nil"/>
              <w:bottom w:val="nil"/>
              <w:right w:val="nil"/>
            </w:tcBorders>
            <w:shd w:val="clear" w:color="auto" w:fill="auto"/>
            <w:noWrap/>
            <w:vAlign w:val="bottom"/>
            <w:hideMark/>
          </w:tcPr>
          <w:p w14:paraId="1741888B" w14:textId="77777777" w:rsidR="0061459C" w:rsidRPr="007337C6" w:rsidRDefault="0061459C" w:rsidP="00165C01">
            <w:pPr>
              <w:spacing w:after="0" w:line="240" w:lineRule="auto"/>
              <w:rPr>
                <w:rFonts w:ascii="Trebuchet MS" w:eastAsia="Times New Roman" w:hAnsi="Trebuchet MS" w:cs="Times New Roman"/>
                <w:sz w:val="16"/>
                <w:szCs w:val="16"/>
                <w:lang w:eastAsia="en-GB"/>
              </w:rPr>
            </w:pPr>
          </w:p>
        </w:tc>
        <w:tc>
          <w:tcPr>
            <w:tcW w:w="730" w:type="dxa"/>
            <w:tcBorders>
              <w:top w:val="nil"/>
              <w:left w:val="nil"/>
              <w:bottom w:val="nil"/>
              <w:right w:val="nil"/>
            </w:tcBorders>
            <w:shd w:val="clear" w:color="auto" w:fill="auto"/>
            <w:noWrap/>
            <w:vAlign w:val="bottom"/>
            <w:hideMark/>
          </w:tcPr>
          <w:p w14:paraId="48200494" w14:textId="77777777" w:rsidR="0061459C" w:rsidRPr="007337C6" w:rsidRDefault="0061459C" w:rsidP="00165C01">
            <w:pPr>
              <w:spacing w:after="0" w:line="240" w:lineRule="auto"/>
              <w:rPr>
                <w:rFonts w:ascii="Trebuchet MS" w:eastAsia="Times New Roman" w:hAnsi="Trebuchet MS" w:cs="Times New Roman"/>
                <w:sz w:val="16"/>
                <w:szCs w:val="16"/>
                <w:lang w:eastAsia="en-GB"/>
              </w:rPr>
            </w:pPr>
          </w:p>
        </w:tc>
        <w:tc>
          <w:tcPr>
            <w:tcW w:w="795" w:type="dxa"/>
            <w:tcBorders>
              <w:top w:val="nil"/>
              <w:left w:val="nil"/>
              <w:bottom w:val="nil"/>
              <w:right w:val="nil"/>
            </w:tcBorders>
            <w:shd w:val="clear" w:color="auto" w:fill="auto"/>
            <w:noWrap/>
            <w:vAlign w:val="bottom"/>
            <w:hideMark/>
          </w:tcPr>
          <w:p w14:paraId="0F5C7191" w14:textId="77777777" w:rsidR="0061459C" w:rsidRPr="007337C6" w:rsidRDefault="0061459C" w:rsidP="00165C01">
            <w:pPr>
              <w:spacing w:after="0" w:line="240" w:lineRule="auto"/>
              <w:rPr>
                <w:rFonts w:ascii="Trebuchet MS" w:eastAsia="Times New Roman" w:hAnsi="Trebuchet MS" w:cs="Times New Roman"/>
                <w:sz w:val="16"/>
                <w:szCs w:val="16"/>
                <w:lang w:eastAsia="en-GB"/>
              </w:rPr>
            </w:pPr>
          </w:p>
        </w:tc>
      </w:tr>
      <w:tr w:rsidR="0061459C" w:rsidRPr="007337C6" w14:paraId="3C0E7260" w14:textId="77777777" w:rsidTr="001E2B2B">
        <w:trPr>
          <w:trHeight w:val="272"/>
        </w:trPr>
        <w:tc>
          <w:tcPr>
            <w:tcW w:w="1627" w:type="dxa"/>
            <w:tcBorders>
              <w:top w:val="single" w:sz="8" w:space="0" w:color="0070C0"/>
              <w:left w:val="single" w:sz="8" w:space="0" w:color="0070C0"/>
              <w:bottom w:val="single" w:sz="8" w:space="0" w:color="0070C0"/>
              <w:right w:val="single" w:sz="8" w:space="0" w:color="0070C0"/>
            </w:tcBorders>
            <w:shd w:val="clear" w:color="auto" w:fill="auto"/>
            <w:noWrap/>
            <w:vAlign w:val="center"/>
            <w:hideMark/>
          </w:tcPr>
          <w:p w14:paraId="337C9B3A" w14:textId="77777777" w:rsidR="0061459C" w:rsidRPr="007337C6" w:rsidRDefault="0061459C" w:rsidP="00165C01">
            <w:pPr>
              <w:spacing w:after="0" w:line="240" w:lineRule="auto"/>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Claims Provision</w:t>
            </w:r>
          </w:p>
        </w:tc>
        <w:tc>
          <w:tcPr>
            <w:tcW w:w="728" w:type="dxa"/>
            <w:tcBorders>
              <w:top w:val="nil"/>
              <w:left w:val="nil"/>
              <w:bottom w:val="single" w:sz="8" w:space="0" w:color="0070C0"/>
              <w:right w:val="nil"/>
            </w:tcBorders>
            <w:shd w:val="clear" w:color="auto" w:fill="auto"/>
            <w:noWrap/>
            <w:vAlign w:val="bottom"/>
            <w:hideMark/>
          </w:tcPr>
          <w:p w14:paraId="4E5BC275" w14:textId="77777777" w:rsidR="0061459C" w:rsidRPr="007337C6" w:rsidRDefault="0061459C"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496</w:t>
            </w:r>
          </w:p>
        </w:tc>
        <w:tc>
          <w:tcPr>
            <w:tcW w:w="1055" w:type="dxa"/>
            <w:tcBorders>
              <w:top w:val="nil"/>
              <w:left w:val="nil"/>
              <w:bottom w:val="single" w:sz="8" w:space="0" w:color="0070C0"/>
              <w:right w:val="nil"/>
            </w:tcBorders>
            <w:shd w:val="clear" w:color="auto" w:fill="auto"/>
            <w:noWrap/>
            <w:vAlign w:val="bottom"/>
            <w:hideMark/>
          </w:tcPr>
          <w:p w14:paraId="313FD9CC" w14:textId="77777777" w:rsidR="0061459C" w:rsidRPr="007337C6" w:rsidRDefault="0061459C"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3,325</w:t>
            </w:r>
          </w:p>
        </w:tc>
        <w:tc>
          <w:tcPr>
            <w:tcW w:w="909" w:type="dxa"/>
            <w:tcBorders>
              <w:top w:val="nil"/>
              <w:left w:val="single" w:sz="8" w:space="0" w:color="0070C0"/>
              <w:bottom w:val="single" w:sz="8" w:space="0" w:color="0070C0"/>
              <w:right w:val="single" w:sz="8" w:space="0" w:color="0070C0"/>
            </w:tcBorders>
            <w:shd w:val="clear" w:color="auto" w:fill="auto"/>
            <w:noWrap/>
            <w:vAlign w:val="bottom"/>
            <w:hideMark/>
          </w:tcPr>
          <w:p w14:paraId="79933209" w14:textId="77777777" w:rsidR="0061459C" w:rsidRPr="007337C6" w:rsidRDefault="0061459C"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3,821</w:t>
            </w:r>
          </w:p>
        </w:tc>
        <w:tc>
          <w:tcPr>
            <w:tcW w:w="796" w:type="dxa"/>
            <w:tcBorders>
              <w:top w:val="nil"/>
              <w:left w:val="nil"/>
              <w:bottom w:val="single" w:sz="8" w:space="0" w:color="0070C0"/>
              <w:right w:val="nil"/>
            </w:tcBorders>
            <w:shd w:val="clear" w:color="auto" w:fill="auto"/>
            <w:noWrap/>
            <w:vAlign w:val="bottom"/>
            <w:hideMark/>
          </w:tcPr>
          <w:p w14:paraId="1EF375B0" w14:textId="77777777" w:rsidR="0061459C" w:rsidRPr="007337C6" w:rsidRDefault="0061459C"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496</w:t>
            </w:r>
          </w:p>
        </w:tc>
        <w:tc>
          <w:tcPr>
            <w:tcW w:w="795" w:type="dxa"/>
            <w:tcBorders>
              <w:top w:val="nil"/>
              <w:left w:val="nil"/>
              <w:bottom w:val="single" w:sz="8" w:space="0" w:color="0070C0"/>
              <w:right w:val="nil"/>
            </w:tcBorders>
            <w:shd w:val="clear" w:color="auto" w:fill="auto"/>
            <w:noWrap/>
            <w:vAlign w:val="bottom"/>
            <w:hideMark/>
          </w:tcPr>
          <w:p w14:paraId="7CF6A27F" w14:textId="77777777" w:rsidR="0061459C" w:rsidRPr="007337C6" w:rsidRDefault="0061459C"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0</w:t>
            </w:r>
          </w:p>
        </w:tc>
        <w:tc>
          <w:tcPr>
            <w:tcW w:w="795" w:type="dxa"/>
            <w:tcBorders>
              <w:top w:val="nil"/>
              <w:left w:val="single" w:sz="8" w:space="0" w:color="0070C0"/>
              <w:bottom w:val="single" w:sz="8" w:space="0" w:color="0070C0"/>
              <w:right w:val="single" w:sz="8" w:space="0" w:color="0070C0"/>
            </w:tcBorders>
            <w:shd w:val="clear" w:color="auto" w:fill="auto"/>
            <w:noWrap/>
            <w:vAlign w:val="bottom"/>
            <w:hideMark/>
          </w:tcPr>
          <w:p w14:paraId="1CC4DFDE" w14:textId="77777777" w:rsidR="0061459C" w:rsidRPr="007337C6" w:rsidRDefault="0061459C"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496</w:t>
            </w:r>
          </w:p>
        </w:tc>
        <w:tc>
          <w:tcPr>
            <w:tcW w:w="1055" w:type="dxa"/>
            <w:tcBorders>
              <w:top w:val="nil"/>
              <w:left w:val="nil"/>
              <w:bottom w:val="nil"/>
              <w:right w:val="nil"/>
            </w:tcBorders>
            <w:shd w:val="clear" w:color="auto" w:fill="auto"/>
            <w:noWrap/>
            <w:vAlign w:val="bottom"/>
            <w:hideMark/>
          </w:tcPr>
          <w:p w14:paraId="47CD19B2" w14:textId="77777777" w:rsidR="0061459C" w:rsidRPr="007337C6" w:rsidRDefault="0061459C" w:rsidP="00165C01">
            <w:pPr>
              <w:spacing w:after="0" w:line="240" w:lineRule="auto"/>
              <w:jc w:val="right"/>
              <w:rPr>
                <w:rFonts w:ascii="Trebuchet MS" w:eastAsia="Times New Roman" w:hAnsi="Trebuchet MS" w:cs="Times New Roman"/>
                <w:color w:val="000000"/>
                <w:sz w:val="16"/>
                <w:szCs w:val="16"/>
                <w:lang w:eastAsia="en-GB"/>
              </w:rPr>
            </w:pPr>
          </w:p>
        </w:tc>
        <w:tc>
          <w:tcPr>
            <w:tcW w:w="974" w:type="dxa"/>
            <w:tcBorders>
              <w:top w:val="nil"/>
              <w:left w:val="nil"/>
              <w:bottom w:val="nil"/>
              <w:right w:val="nil"/>
            </w:tcBorders>
            <w:shd w:val="clear" w:color="auto" w:fill="auto"/>
            <w:noWrap/>
            <w:vAlign w:val="bottom"/>
            <w:hideMark/>
          </w:tcPr>
          <w:p w14:paraId="225F9789" w14:textId="77777777" w:rsidR="0061459C" w:rsidRPr="007337C6" w:rsidRDefault="0061459C" w:rsidP="00165C01">
            <w:pPr>
              <w:spacing w:after="0" w:line="240" w:lineRule="auto"/>
              <w:rPr>
                <w:rFonts w:ascii="Trebuchet MS" w:eastAsia="Times New Roman" w:hAnsi="Trebuchet MS" w:cs="Times New Roman"/>
                <w:sz w:val="16"/>
                <w:szCs w:val="16"/>
                <w:lang w:eastAsia="en-GB"/>
              </w:rPr>
            </w:pPr>
          </w:p>
        </w:tc>
        <w:tc>
          <w:tcPr>
            <w:tcW w:w="730" w:type="dxa"/>
            <w:tcBorders>
              <w:top w:val="nil"/>
              <w:left w:val="nil"/>
              <w:bottom w:val="nil"/>
              <w:right w:val="nil"/>
            </w:tcBorders>
            <w:shd w:val="clear" w:color="auto" w:fill="auto"/>
            <w:noWrap/>
            <w:vAlign w:val="bottom"/>
            <w:hideMark/>
          </w:tcPr>
          <w:p w14:paraId="48451C64" w14:textId="77777777" w:rsidR="0061459C" w:rsidRPr="007337C6" w:rsidRDefault="0061459C" w:rsidP="00165C01">
            <w:pPr>
              <w:spacing w:after="0" w:line="240" w:lineRule="auto"/>
              <w:rPr>
                <w:rFonts w:ascii="Trebuchet MS" w:eastAsia="Times New Roman" w:hAnsi="Trebuchet MS" w:cs="Times New Roman"/>
                <w:sz w:val="16"/>
                <w:szCs w:val="16"/>
                <w:lang w:eastAsia="en-GB"/>
              </w:rPr>
            </w:pPr>
          </w:p>
        </w:tc>
        <w:tc>
          <w:tcPr>
            <w:tcW w:w="795" w:type="dxa"/>
            <w:tcBorders>
              <w:top w:val="nil"/>
              <w:left w:val="nil"/>
              <w:bottom w:val="nil"/>
              <w:right w:val="nil"/>
            </w:tcBorders>
            <w:shd w:val="clear" w:color="auto" w:fill="auto"/>
            <w:noWrap/>
            <w:vAlign w:val="bottom"/>
            <w:hideMark/>
          </w:tcPr>
          <w:p w14:paraId="1E5EF5F5" w14:textId="77777777" w:rsidR="0061459C" w:rsidRPr="007337C6" w:rsidRDefault="0061459C" w:rsidP="00165C01">
            <w:pPr>
              <w:spacing w:after="0" w:line="240" w:lineRule="auto"/>
              <w:rPr>
                <w:rFonts w:ascii="Trebuchet MS" w:eastAsia="Times New Roman" w:hAnsi="Trebuchet MS" w:cs="Times New Roman"/>
                <w:sz w:val="16"/>
                <w:szCs w:val="16"/>
                <w:lang w:eastAsia="en-GB"/>
              </w:rPr>
            </w:pPr>
          </w:p>
        </w:tc>
      </w:tr>
      <w:tr w:rsidR="0061459C" w:rsidRPr="007337C6" w14:paraId="6D742E43" w14:textId="77777777" w:rsidTr="001E2B2B">
        <w:trPr>
          <w:trHeight w:val="272"/>
        </w:trPr>
        <w:tc>
          <w:tcPr>
            <w:tcW w:w="1627" w:type="dxa"/>
            <w:tcBorders>
              <w:top w:val="nil"/>
              <w:left w:val="single" w:sz="8" w:space="0" w:color="0070C0"/>
              <w:bottom w:val="single" w:sz="8" w:space="0" w:color="0070C0"/>
              <w:right w:val="single" w:sz="8" w:space="0" w:color="0070C0"/>
            </w:tcBorders>
            <w:shd w:val="clear" w:color="auto" w:fill="auto"/>
            <w:noWrap/>
            <w:vAlign w:val="center"/>
            <w:hideMark/>
          </w:tcPr>
          <w:p w14:paraId="11469376" w14:textId="77777777" w:rsidR="0061459C" w:rsidRPr="007337C6" w:rsidRDefault="0061459C" w:rsidP="00165C01">
            <w:pPr>
              <w:spacing w:after="0" w:line="240" w:lineRule="auto"/>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Premium Provision</w:t>
            </w:r>
          </w:p>
        </w:tc>
        <w:tc>
          <w:tcPr>
            <w:tcW w:w="728" w:type="dxa"/>
            <w:tcBorders>
              <w:top w:val="nil"/>
              <w:left w:val="nil"/>
              <w:bottom w:val="single" w:sz="8" w:space="0" w:color="0070C0"/>
              <w:right w:val="nil"/>
            </w:tcBorders>
            <w:shd w:val="clear" w:color="auto" w:fill="auto"/>
            <w:noWrap/>
            <w:vAlign w:val="bottom"/>
            <w:hideMark/>
          </w:tcPr>
          <w:p w14:paraId="5B93CD63" w14:textId="77777777" w:rsidR="0061459C" w:rsidRPr="007337C6" w:rsidRDefault="0061459C"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FF0000"/>
                <w:sz w:val="16"/>
                <w:szCs w:val="16"/>
                <w:lang w:eastAsia="en-GB"/>
              </w:rPr>
              <w:t>(1,382)</w:t>
            </w:r>
          </w:p>
        </w:tc>
        <w:tc>
          <w:tcPr>
            <w:tcW w:w="1055" w:type="dxa"/>
            <w:tcBorders>
              <w:top w:val="nil"/>
              <w:left w:val="nil"/>
              <w:bottom w:val="single" w:sz="8" w:space="0" w:color="0070C0"/>
              <w:right w:val="nil"/>
            </w:tcBorders>
            <w:shd w:val="clear" w:color="auto" w:fill="auto"/>
            <w:noWrap/>
            <w:vAlign w:val="bottom"/>
            <w:hideMark/>
          </w:tcPr>
          <w:p w14:paraId="503B3FA8" w14:textId="77777777" w:rsidR="0061459C" w:rsidRPr="007337C6" w:rsidRDefault="0061459C"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2,835</w:t>
            </w:r>
          </w:p>
        </w:tc>
        <w:tc>
          <w:tcPr>
            <w:tcW w:w="909" w:type="dxa"/>
            <w:tcBorders>
              <w:top w:val="nil"/>
              <w:left w:val="single" w:sz="8" w:space="0" w:color="0070C0"/>
              <w:bottom w:val="single" w:sz="8" w:space="0" w:color="0070C0"/>
              <w:right w:val="single" w:sz="8" w:space="0" w:color="0070C0"/>
            </w:tcBorders>
            <w:shd w:val="clear" w:color="auto" w:fill="auto"/>
            <w:noWrap/>
            <w:vAlign w:val="bottom"/>
            <w:hideMark/>
          </w:tcPr>
          <w:p w14:paraId="0C05F111" w14:textId="77777777" w:rsidR="0061459C" w:rsidRPr="007337C6" w:rsidRDefault="0061459C"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1,453</w:t>
            </w:r>
          </w:p>
        </w:tc>
        <w:tc>
          <w:tcPr>
            <w:tcW w:w="796" w:type="dxa"/>
            <w:tcBorders>
              <w:top w:val="nil"/>
              <w:left w:val="nil"/>
              <w:bottom w:val="single" w:sz="8" w:space="0" w:color="0070C0"/>
              <w:right w:val="nil"/>
            </w:tcBorders>
            <w:shd w:val="clear" w:color="auto" w:fill="auto"/>
            <w:noWrap/>
            <w:vAlign w:val="bottom"/>
            <w:hideMark/>
          </w:tcPr>
          <w:p w14:paraId="5AFDD544" w14:textId="77777777" w:rsidR="0061459C" w:rsidRPr="007337C6" w:rsidRDefault="0061459C"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FF0000"/>
                <w:sz w:val="16"/>
                <w:szCs w:val="16"/>
                <w:lang w:eastAsia="en-GB"/>
              </w:rPr>
              <w:t>(1,382)</w:t>
            </w:r>
          </w:p>
        </w:tc>
        <w:tc>
          <w:tcPr>
            <w:tcW w:w="795" w:type="dxa"/>
            <w:tcBorders>
              <w:top w:val="nil"/>
              <w:left w:val="nil"/>
              <w:bottom w:val="single" w:sz="8" w:space="0" w:color="0070C0"/>
              <w:right w:val="nil"/>
            </w:tcBorders>
            <w:shd w:val="clear" w:color="auto" w:fill="auto"/>
            <w:noWrap/>
            <w:vAlign w:val="bottom"/>
            <w:hideMark/>
          </w:tcPr>
          <w:p w14:paraId="56EB8577" w14:textId="77777777" w:rsidR="0061459C" w:rsidRPr="007337C6" w:rsidRDefault="0061459C"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0</w:t>
            </w:r>
          </w:p>
        </w:tc>
        <w:tc>
          <w:tcPr>
            <w:tcW w:w="795" w:type="dxa"/>
            <w:tcBorders>
              <w:top w:val="nil"/>
              <w:left w:val="single" w:sz="8" w:space="0" w:color="0070C0"/>
              <w:bottom w:val="single" w:sz="8" w:space="0" w:color="0070C0"/>
              <w:right w:val="single" w:sz="8" w:space="0" w:color="0070C0"/>
            </w:tcBorders>
            <w:shd w:val="clear" w:color="auto" w:fill="auto"/>
            <w:noWrap/>
            <w:vAlign w:val="bottom"/>
            <w:hideMark/>
          </w:tcPr>
          <w:p w14:paraId="246C186C" w14:textId="77777777" w:rsidR="0061459C" w:rsidRPr="007337C6" w:rsidRDefault="0061459C"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FF0000"/>
                <w:sz w:val="16"/>
                <w:szCs w:val="16"/>
                <w:lang w:eastAsia="en-GB"/>
              </w:rPr>
              <w:t>(1,382)</w:t>
            </w:r>
          </w:p>
        </w:tc>
        <w:tc>
          <w:tcPr>
            <w:tcW w:w="1055" w:type="dxa"/>
            <w:tcBorders>
              <w:top w:val="nil"/>
              <w:left w:val="nil"/>
              <w:bottom w:val="nil"/>
              <w:right w:val="nil"/>
            </w:tcBorders>
            <w:shd w:val="clear" w:color="auto" w:fill="auto"/>
            <w:noWrap/>
            <w:vAlign w:val="bottom"/>
            <w:hideMark/>
          </w:tcPr>
          <w:p w14:paraId="61F1BA2E" w14:textId="77777777" w:rsidR="0061459C" w:rsidRPr="007337C6" w:rsidRDefault="0061459C" w:rsidP="00165C01">
            <w:pPr>
              <w:spacing w:after="0" w:line="240" w:lineRule="auto"/>
              <w:jc w:val="right"/>
              <w:rPr>
                <w:rFonts w:ascii="Trebuchet MS" w:eastAsia="Times New Roman" w:hAnsi="Trebuchet MS" w:cs="Times New Roman"/>
                <w:color w:val="000000"/>
                <w:sz w:val="16"/>
                <w:szCs w:val="16"/>
                <w:lang w:eastAsia="en-GB"/>
              </w:rPr>
            </w:pPr>
          </w:p>
        </w:tc>
        <w:tc>
          <w:tcPr>
            <w:tcW w:w="974" w:type="dxa"/>
            <w:tcBorders>
              <w:top w:val="nil"/>
              <w:left w:val="nil"/>
              <w:bottom w:val="nil"/>
              <w:right w:val="nil"/>
            </w:tcBorders>
            <w:shd w:val="clear" w:color="auto" w:fill="auto"/>
            <w:noWrap/>
            <w:vAlign w:val="bottom"/>
            <w:hideMark/>
          </w:tcPr>
          <w:p w14:paraId="1180537A" w14:textId="77777777" w:rsidR="0061459C" w:rsidRPr="007337C6" w:rsidRDefault="0061459C" w:rsidP="00165C01">
            <w:pPr>
              <w:spacing w:after="0" w:line="240" w:lineRule="auto"/>
              <w:rPr>
                <w:rFonts w:ascii="Trebuchet MS" w:eastAsia="Times New Roman" w:hAnsi="Trebuchet MS" w:cs="Times New Roman"/>
                <w:sz w:val="16"/>
                <w:szCs w:val="16"/>
                <w:lang w:eastAsia="en-GB"/>
              </w:rPr>
            </w:pPr>
          </w:p>
        </w:tc>
        <w:tc>
          <w:tcPr>
            <w:tcW w:w="730" w:type="dxa"/>
            <w:tcBorders>
              <w:top w:val="nil"/>
              <w:left w:val="nil"/>
              <w:bottom w:val="nil"/>
              <w:right w:val="nil"/>
            </w:tcBorders>
            <w:shd w:val="clear" w:color="auto" w:fill="auto"/>
            <w:noWrap/>
            <w:vAlign w:val="bottom"/>
            <w:hideMark/>
          </w:tcPr>
          <w:p w14:paraId="030F1DDB" w14:textId="77777777" w:rsidR="0061459C" w:rsidRPr="007337C6" w:rsidRDefault="0061459C" w:rsidP="00165C01">
            <w:pPr>
              <w:spacing w:after="0" w:line="240" w:lineRule="auto"/>
              <w:rPr>
                <w:rFonts w:ascii="Trebuchet MS" w:eastAsia="Times New Roman" w:hAnsi="Trebuchet MS" w:cs="Times New Roman"/>
                <w:sz w:val="16"/>
                <w:szCs w:val="16"/>
                <w:lang w:eastAsia="en-GB"/>
              </w:rPr>
            </w:pPr>
          </w:p>
        </w:tc>
        <w:tc>
          <w:tcPr>
            <w:tcW w:w="795" w:type="dxa"/>
            <w:tcBorders>
              <w:top w:val="nil"/>
              <w:left w:val="nil"/>
              <w:bottom w:val="nil"/>
              <w:right w:val="nil"/>
            </w:tcBorders>
            <w:shd w:val="clear" w:color="auto" w:fill="auto"/>
            <w:noWrap/>
            <w:vAlign w:val="bottom"/>
            <w:hideMark/>
          </w:tcPr>
          <w:p w14:paraId="75F90650" w14:textId="77777777" w:rsidR="0061459C" w:rsidRPr="007337C6" w:rsidRDefault="0061459C" w:rsidP="00165C01">
            <w:pPr>
              <w:spacing w:after="0" w:line="240" w:lineRule="auto"/>
              <w:rPr>
                <w:rFonts w:ascii="Trebuchet MS" w:eastAsia="Times New Roman" w:hAnsi="Trebuchet MS" w:cs="Times New Roman"/>
                <w:sz w:val="16"/>
                <w:szCs w:val="16"/>
                <w:lang w:eastAsia="en-GB"/>
              </w:rPr>
            </w:pPr>
          </w:p>
        </w:tc>
      </w:tr>
      <w:tr w:rsidR="0061459C" w:rsidRPr="007337C6" w14:paraId="3B24B166" w14:textId="77777777" w:rsidTr="001E2B2B">
        <w:trPr>
          <w:trHeight w:val="272"/>
        </w:trPr>
        <w:tc>
          <w:tcPr>
            <w:tcW w:w="1627" w:type="dxa"/>
            <w:tcBorders>
              <w:top w:val="nil"/>
              <w:left w:val="single" w:sz="8" w:space="0" w:color="0070C0"/>
              <w:bottom w:val="single" w:sz="8" w:space="0" w:color="0070C0"/>
              <w:right w:val="single" w:sz="8" w:space="0" w:color="0070C0"/>
            </w:tcBorders>
            <w:shd w:val="clear" w:color="auto" w:fill="auto"/>
            <w:noWrap/>
            <w:vAlign w:val="center"/>
            <w:hideMark/>
          </w:tcPr>
          <w:p w14:paraId="1D1FB335" w14:textId="77777777" w:rsidR="0061459C" w:rsidRPr="007337C6" w:rsidRDefault="0061459C" w:rsidP="00165C01">
            <w:pPr>
              <w:spacing w:after="0" w:line="240" w:lineRule="auto"/>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Total</w:t>
            </w:r>
          </w:p>
        </w:tc>
        <w:tc>
          <w:tcPr>
            <w:tcW w:w="728" w:type="dxa"/>
            <w:tcBorders>
              <w:top w:val="nil"/>
              <w:left w:val="nil"/>
              <w:bottom w:val="single" w:sz="8" w:space="0" w:color="0070C0"/>
              <w:right w:val="nil"/>
            </w:tcBorders>
            <w:shd w:val="clear" w:color="auto" w:fill="auto"/>
            <w:noWrap/>
            <w:vAlign w:val="bottom"/>
            <w:hideMark/>
          </w:tcPr>
          <w:p w14:paraId="642ABD43" w14:textId="77777777" w:rsidR="0061459C" w:rsidRPr="007337C6" w:rsidRDefault="0061459C"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FF0000"/>
                <w:sz w:val="16"/>
                <w:szCs w:val="16"/>
                <w:lang w:eastAsia="en-GB"/>
              </w:rPr>
              <w:t>(886)</w:t>
            </w:r>
          </w:p>
        </w:tc>
        <w:tc>
          <w:tcPr>
            <w:tcW w:w="1055" w:type="dxa"/>
            <w:tcBorders>
              <w:top w:val="nil"/>
              <w:left w:val="nil"/>
              <w:bottom w:val="single" w:sz="8" w:space="0" w:color="0070C0"/>
              <w:right w:val="nil"/>
            </w:tcBorders>
            <w:shd w:val="clear" w:color="auto" w:fill="auto"/>
            <w:noWrap/>
            <w:vAlign w:val="bottom"/>
            <w:hideMark/>
          </w:tcPr>
          <w:p w14:paraId="56AB9858" w14:textId="77777777" w:rsidR="0061459C" w:rsidRPr="007337C6" w:rsidRDefault="0061459C"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6,160</w:t>
            </w:r>
          </w:p>
        </w:tc>
        <w:tc>
          <w:tcPr>
            <w:tcW w:w="909" w:type="dxa"/>
            <w:tcBorders>
              <w:top w:val="nil"/>
              <w:left w:val="single" w:sz="8" w:space="0" w:color="0070C0"/>
              <w:bottom w:val="single" w:sz="8" w:space="0" w:color="0070C0"/>
              <w:right w:val="single" w:sz="8" w:space="0" w:color="0070C0"/>
            </w:tcBorders>
            <w:shd w:val="clear" w:color="auto" w:fill="auto"/>
            <w:noWrap/>
            <w:vAlign w:val="bottom"/>
            <w:hideMark/>
          </w:tcPr>
          <w:p w14:paraId="10003C1E" w14:textId="77777777" w:rsidR="0061459C" w:rsidRPr="007337C6" w:rsidRDefault="0061459C"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5,273</w:t>
            </w:r>
          </w:p>
        </w:tc>
        <w:tc>
          <w:tcPr>
            <w:tcW w:w="796" w:type="dxa"/>
            <w:tcBorders>
              <w:top w:val="nil"/>
              <w:left w:val="nil"/>
              <w:bottom w:val="single" w:sz="8" w:space="0" w:color="0070C0"/>
              <w:right w:val="nil"/>
            </w:tcBorders>
            <w:shd w:val="clear" w:color="auto" w:fill="auto"/>
            <w:noWrap/>
            <w:vAlign w:val="bottom"/>
            <w:hideMark/>
          </w:tcPr>
          <w:p w14:paraId="740EFDB2" w14:textId="77777777" w:rsidR="0061459C" w:rsidRPr="007337C6" w:rsidRDefault="0061459C"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FF0000"/>
                <w:sz w:val="16"/>
                <w:szCs w:val="16"/>
                <w:lang w:eastAsia="en-GB"/>
              </w:rPr>
              <w:t>(886)</w:t>
            </w:r>
          </w:p>
        </w:tc>
        <w:tc>
          <w:tcPr>
            <w:tcW w:w="795" w:type="dxa"/>
            <w:tcBorders>
              <w:top w:val="nil"/>
              <w:left w:val="nil"/>
              <w:bottom w:val="single" w:sz="8" w:space="0" w:color="0070C0"/>
              <w:right w:val="nil"/>
            </w:tcBorders>
            <w:shd w:val="clear" w:color="auto" w:fill="auto"/>
            <w:noWrap/>
            <w:vAlign w:val="bottom"/>
            <w:hideMark/>
          </w:tcPr>
          <w:p w14:paraId="7E279BB5" w14:textId="77777777" w:rsidR="0061459C" w:rsidRPr="007337C6" w:rsidRDefault="0061459C"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0</w:t>
            </w:r>
          </w:p>
        </w:tc>
        <w:tc>
          <w:tcPr>
            <w:tcW w:w="795" w:type="dxa"/>
            <w:tcBorders>
              <w:top w:val="nil"/>
              <w:left w:val="single" w:sz="8" w:space="0" w:color="0070C0"/>
              <w:bottom w:val="single" w:sz="8" w:space="0" w:color="0070C0"/>
              <w:right w:val="single" w:sz="8" w:space="0" w:color="0070C0"/>
            </w:tcBorders>
            <w:shd w:val="clear" w:color="auto" w:fill="auto"/>
            <w:noWrap/>
            <w:vAlign w:val="bottom"/>
            <w:hideMark/>
          </w:tcPr>
          <w:p w14:paraId="508D6D4F" w14:textId="77777777" w:rsidR="0061459C" w:rsidRPr="007337C6" w:rsidRDefault="0061459C"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FF0000"/>
                <w:sz w:val="16"/>
                <w:szCs w:val="16"/>
                <w:lang w:eastAsia="en-GB"/>
              </w:rPr>
              <w:t>(886)</w:t>
            </w:r>
          </w:p>
        </w:tc>
        <w:tc>
          <w:tcPr>
            <w:tcW w:w="1055" w:type="dxa"/>
            <w:tcBorders>
              <w:top w:val="nil"/>
              <w:left w:val="nil"/>
              <w:bottom w:val="nil"/>
              <w:right w:val="nil"/>
            </w:tcBorders>
            <w:shd w:val="clear" w:color="auto" w:fill="auto"/>
            <w:noWrap/>
            <w:vAlign w:val="bottom"/>
            <w:hideMark/>
          </w:tcPr>
          <w:p w14:paraId="5CA74198" w14:textId="77777777" w:rsidR="0061459C" w:rsidRPr="007337C6" w:rsidRDefault="0061459C" w:rsidP="00165C01">
            <w:pPr>
              <w:spacing w:after="0" w:line="240" w:lineRule="auto"/>
              <w:jc w:val="right"/>
              <w:rPr>
                <w:rFonts w:ascii="Trebuchet MS" w:eastAsia="Times New Roman" w:hAnsi="Trebuchet MS" w:cs="Times New Roman"/>
                <w:color w:val="000000"/>
                <w:sz w:val="16"/>
                <w:szCs w:val="16"/>
                <w:lang w:eastAsia="en-GB"/>
              </w:rPr>
            </w:pPr>
          </w:p>
        </w:tc>
        <w:tc>
          <w:tcPr>
            <w:tcW w:w="974" w:type="dxa"/>
            <w:tcBorders>
              <w:top w:val="nil"/>
              <w:left w:val="nil"/>
              <w:bottom w:val="nil"/>
              <w:right w:val="nil"/>
            </w:tcBorders>
            <w:shd w:val="clear" w:color="auto" w:fill="auto"/>
            <w:noWrap/>
            <w:vAlign w:val="bottom"/>
            <w:hideMark/>
          </w:tcPr>
          <w:p w14:paraId="178C5284" w14:textId="77777777" w:rsidR="0061459C" w:rsidRPr="007337C6" w:rsidRDefault="0061459C" w:rsidP="00165C01">
            <w:pPr>
              <w:spacing w:after="0" w:line="240" w:lineRule="auto"/>
              <w:rPr>
                <w:rFonts w:ascii="Trebuchet MS" w:eastAsia="Times New Roman" w:hAnsi="Trebuchet MS" w:cs="Times New Roman"/>
                <w:sz w:val="16"/>
                <w:szCs w:val="16"/>
                <w:lang w:eastAsia="en-GB"/>
              </w:rPr>
            </w:pPr>
          </w:p>
        </w:tc>
        <w:tc>
          <w:tcPr>
            <w:tcW w:w="730" w:type="dxa"/>
            <w:tcBorders>
              <w:top w:val="nil"/>
              <w:left w:val="nil"/>
              <w:bottom w:val="nil"/>
              <w:right w:val="nil"/>
            </w:tcBorders>
            <w:shd w:val="clear" w:color="auto" w:fill="auto"/>
            <w:noWrap/>
            <w:vAlign w:val="bottom"/>
            <w:hideMark/>
          </w:tcPr>
          <w:p w14:paraId="7D4653D0" w14:textId="77777777" w:rsidR="0061459C" w:rsidRPr="007337C6" w:rsidRDefault="0061459C" w:rsidP="00165C01">
            <w:pPr>
              <w:spacing w:after="0" w:line="240" w:lineRule="auto"/>
              <w:rPr>
                <w:rFonts w:ascii="Trebuchet MS" w:eastAsia="Times New Roman" w:hAnsi="Trebuchet MS" w:cs="Times New Roman"/>
                <w:sz w:val="16"/>
                <w:szCs w:val="16"/>
                <w:lang w:eastAsia="en-GB"/>
              </w:rPr>
            </w:pPr>
          </w:p>
        </w:tc>
        <w:tc>
          <w:tcPr>
            <w:tcW w:w="795" w:type="dxa"/>
            <w:tcBorders>
              <w:top w:val="nil"/>
              <w:left w:val="nil"/>
              <w:bottom w:val="nil"/>
              <w:right w:val="nil"/>
            </w:tcBorders>
            <w:shd w:val="clear" w:color="auto" w:fill="auto"/>
            <w:noWrap/>
            <w:vAlign w:val="bottom"/>
            <w:hideMark/>
          </w:tcPr>
          <w:p w14:paraId="0E0A45CE" w14:textId="77777777" w:rsidR="0061459C" w:rsidRPr="007337C6" w:rsidRDefault="0061459C" w:rsidP="00165C01">
            <w:pPr>
              <w:spacing w:after="0" w:line="240" w:lineRule="auto"/>
              <w:rPr>
                <w:rFonts w:ascii="Trebuchet MS" w:eastAsia="Times New Roman" w:hAnsi="Trebuchet MS" w:cs="Times New Roman"/>
                <w:sz w:val="16"/>
                <w:szCs w:val="16"/>
                <w:lang w:eastAsia="en-GB"/>
              </w:rPr>
            </w:pPr>
          </w:p>
        </w:tc>
      </w:tr>
      <w:tr w:rsidR="0061459C" w:rsidRPr="007337C6" w14:paraId="0FB53943" w14:textId="77777777" w:rsidTr="008F50C3">
        <w:trPr>
          <w:trHeight w:val="136"/>
        </w:trPr>
        <w:tc>
          <w:tcPr>
            <w:tcW w:w="1627" w:type="dxa"/>
            <w:tcBorders>
              <w:top w:val="nil"/>
              <w:left w:val="nil"/>
              <w:bottom w:val="nil"/>
              <w:right w:val="nil"/>
            </w:tcBorders>
            <w:shd w:val="clear" w:color="auto" w:fill="auto"/>
            <w:noWrap/>
            <w:vAlign w:val="center"/>
            <w:hideMark/>
          </w:tcPr>
          <w:p w14:paraId="09B66D6D" w14:textId="77777777" w:rsidR="0061459C" w:rsidRPr="007337C6" w:rsidRDefault="0061459C" w:rsidP="00165C01">
            <w:pPr>
              <w:spacing w:after="0" w:line="240" w:lineRule="auto"/>
              <w:rPr>
                <w:rFonts w:ascii="Trebuchet MS" w:eastAsia="Times New Roman" w:hAnsi="Trebuchet MS" w:cs="Times New Roman"/>
                <w:sz w:val="16"/>
                <w:szCs w:val="16"/>
                <w:lang w:eastAsia="en-GB"/>
              </w:rPr>
            </w:pPr>
          </w:p>
        </w:tc>
        <w:tc>
          <w:tcPr>
            <w:tcW w:w="728" w:type="dxa"/>
            <w:tcBorders>
              <w:top w:val="nil"/>
              <w:left w:val="nil"/>
              <w:bottom w:val="nil"/>
              <w:right w:val="nil"/>
            </w:tcBorders>
            <w:shd w:val="clear" w:color="auto" w:fill="auto"/>
            <w:noWrap/>
            <w:vAlign w:val="center"/>
            <w:hideMark/>
          </w:tcPr>
          <w:p w14:paraId="36909A22" w14:textId="77777777" w:rsidR="0061459C" w:rsidRPr="007337C6" w:rsidRDefault="0061459C" w:rsidP="00165C01">
            <w:pPr>
              <w:spacing w:after="0" w:line="240" w:lineRule="auto"/>
              <w:rPr>
                <w:rFonts w:ascii="Trebuchet MS" w:eastAsia="Times New Roman" w:hAnsi="Trebuchet MS" w:cs="Times New Roman"/>
                <w:sz w:val="16"/>
                <w:szCs w:val="16"/>
                <w:lang w:eastAsia="en-GB"/>
              </w:rPr>
            </w:pPr>
          </w:p>
        </w:tc>
        <w:tc>
          <w:tcPr>
            <w:tcW w:w="1055" w:type="dxa"/>
            <w:tcBorders>
              <w:top w:val="nil"/>
              <w:left w:val="nil"/>
              <w:bottom w:val="nil"/>
              <w:right w:val="nil"/>
            </w:tcBorders>
            <w:shd w:val="clear" w:color="auto" w:fill="auto"/>
            <w:noWrap/>
            <w:vAlign w:val="center"/>
            <w:hideMark/>
          </w:tcPr>
          <w:p w14:paraId="6475D248" w14:textId="77777777" w:rsidR="0061459C" w:rsidRPr="007337C6" w:rsidRDefault="0061459C" w:rsidP="00165C01">
            <w:pPr>
              <w:spacing w:after="0" w:line="240" w:lineRule="auto"/>
              <w:rPr>
                <w:rFonts w:ascii="Trebuchet MS" w:eastAsia="Times New Roman" w:hAnsi="Trebuchet MS" w:cs="Times New Roman"/>
                <w:sz w:val="16"/>
                <w:szCs w:val="16"/>
                <w:lang w:eastAsia="en-GB"/>
              </w:rPr>
            </w:pPr>
          </w:p>
        </w:tc>
        <w:tc>
          <w:tcPr>
            <w:tcW w:w="909" w:type="dxa"/>
            <w:tcBorders>
              <w:top w:val="nil"/>
              <w:left w:val="nil"/>
              <w:bottom w:val="nil"/>
              <w:right w:val="nil"/>
            </w:tcBorders>
            <w:shd w:val="clear" w:color="auto" w:fill="auto"/>
            <w:noWrap/>
            <w:vAlign w:val="center"/>
            <w:hideMark/>
          </w:tcPr>
          <w:p w14:paraId="1710FC62" w14:textId="77777777" w:rsidR="0061459C" w:rsidRPr="007337C6" w:rsidRDefault="0061459C" w:rsidP="00165C01">
            <w:pPr>
              <w:spacing w:after="0" w:line="240" w:lineRule="auto"/>
              <w:rPr>
                <w:rFonts w:ascii="Trebuchet MS" w:eastAsia="Times New Roman" w:hAnsi="Trebuchet MS" w:cs="Times New Roman"/>
                <w:sz w:val="16"/>
                <w:szCs w:val="16"/>
                <w:lang w:eastAsia="en-GB"/>
              </w:rPr>
            </w:pPr>
          </w:p>
        </w:tc>
        <w:tc>
          <w:tcPr>
            <w:tcW w:w="796" w:type="dxa"/>
            <w:tcBorders>
              <w:top w:val="nil"/>
              <w:left w:val="nil"/>
              <w:bottom w:val="nil"/>
              <w:right w:val="nil"/>
            </w:tcBorders>
            <w:shd w:val="clear" w:color="auto" w:fill="auto"/>
            <w:noWrap/>
            <w:vAlign w:val="center"/>
            <w:hideMark/>
          </w:tcPr>
          <w:p w14:paraId="01AF087B" w14:textId="77777777" w:rsidR="0061459C" w:rsidRPr="007337C6" w:rsidRDefault="0061459C" w:rsidP="00165C01">
            <w:pPr>
              <w:spacing w:after="0" w:line="240" w:lineRule="auto"/>
              <w:rPr>
                <w:rFonts w:ascii="Trebuchet MS" w:eastAsia="Times New Roman" w:hAnsi="Trebuchet MS" w:cs="Times New Roman"/>
                <w:sz w:val="16"/>
                <w:szCs w:val="16"/>
                <w:lang w:eastAsia="en-GB"/>
              </w:rPr>
            </w:pPr>
          </w:p>
        </w:tc>
        <w:tc>
          <w:tcPr>
            <w:tcW w:w="795" w:type="dxa"/>
            <w:tcBorders>
              <w:top w:val="nil"/>
              <w:left w:val="nil"/>
              <w:bottom w:val="nil"/>
              <w:right w:val="nil"/>
            </w:tcBorders>
            <w:shd w:val="clear" w:color="auto" w:fill="auto"/>
            <w:noWrap/>
            <w:vAlign w:val="center"/>
            <w:hideMark/>
          </w:tcPr>
          <w:p w14:paraId="32E51819" w14:textId="77777777" w:rsidR="0061459C" w:rsidRPr="007337C6" w:rsidRDefault="0061459C" w:rsidP="00165C01">
            <w:pPr>
              <w:spacing w:after="0" w:line="240" w:lineRule="auto"/>
              <w:rPr>
                <w:rFonts w:ascii="Trebuchet MS" w:eastAsia="Times New Roman" w:hAnsi="Trebuchet MS" w:cs="Times New Roman"/>
                <w:sz w:val="16"/>
                <w:szCs w:val="16"/>
                <w:lang w:eastAsia="en-GB"/>
              </w:rPr>
            </w:pPr>
          </w:p>
        </w:tc>
        <w:tc>
          <w:tcPr>
            <w:tcW w:w="795" w:type="dxa"/>
            <w:tcBorders>
              <w:top w:val="nil"/>
              <w:left w:val="nil"/>
              <w:bottom w:val="nil"/>
              <w:right w:val="nil"/>
            </w:tcBorders>
            <w:shd w:val="clear" w:color="auto" w:fill="auto"/>
            <w:noWrap/>
            <w:vAlign w:val="center"/>
            <w:hideMark/>
          </w:tcPr>
          <w:p w14:paraId="19DA4084" w14:textId="77777777" w:rsidR="0061459C" w:rsidRPr="007337C6" w:rsidRDefault="0061459C" w:rsidP="00165C01">
            <w:pPr>
              <w:spacing w:after="0" w:line="240" w:lineRule="auto"/>
              <w:rPr>
                <w:rFonts w:ascii="Trebuchet MS" w:eastAsia="Times New Roman" w:hAnsi="Trebuchet MS" w:cs="Times New Roman"/>
                <w:sz w:val="16"/>
                <w:szCs w:val="16"/>
                <w:lang w:eastAsia="en-GB"/>
              </w:rPr>
            </w:pPr>
          </w:p>
        </w:tc>
        <w:tc>
          <w:tcPr>
            <w:tcW w:w="1055" w:type="dxa"/>
            <w:tcBorders>
              <w:top w:val="nil"/>
              <w:left w:val="nil"/>
              <w:bottom w:val="nil"/>
              <w:right w:val="nil"/>
            </w:tcBorders>
            <w:shd w:val="clear" w:color="auto" w:fill="auto"/>
            <w:noWrap/>
            <w:vAlign w:val="center"/>
            <w:hideMark/>
          </w:tcPr>
          <w:p w14:paraId="64E9D2BB" w14:textId="77777777" w:rsidR="0061459C" w:rsidRPr="007337C6" w:rsidRDefault="0061459C" w:rsidP="00165C01">
            <w:pPr>
              <w:spacing w:after="0" w:line="240" w:lineRule="auto"/>
              <w:rPr>
                <w:rFonts w:ascii="Trebuchet MS" w:eastAsia="Times New Roman" w:hAnsi="Trebuchet MS" w:cs="Times New Roman"/>
                <w:sz w:val="16"/>
                <w:szCs w:val="16"/>
                <w:lang w:eastAsia="en-GB"/>
              </w:rPr>
            </w:pPr>
          </w:p>
        </w:tc>
        <w:tc>
          <w:tcPr>
            <w:tcW w:w="974" w:type="dxa"/>
            <w:tcBorders>
              <w:top w:val="nil"/>
              <w:left w:val="nil"/>
              <w:bottom w:val="nil"/>
              <w:right w:val="nil"/>
            </w:tcBorders>
            <w:shd w:val="clear" w:color="auto" w:fill="auto"/>
            <w:noWrap/>
            <w:vAlign w:val="center"/>
            <w:hideMark/>
          </w:tcPr>
          <w:p w14:paraId="79463469" w14:textId="77777777" w:rsidR="0061459C" w:rsidRPr="007337C6" w:rsidRDefault="0061459C" w:rsidP="00165C01">
            <w:pPr>
              <w:spacing w:after="0" w:line="240" w:lineRule="auto"/>
              <w:rPr>
                <w:rFonts w:ascii="Trebuchet MS" w:eastAsia="Times New Roman" w:hAnsi="Trebuchet MS" w:cs="Times New Roman"/>
                <w:sz w:val="16"/>
                <w:szCs w:val="16"/>
                <w:lang w:eastAsia="en-GB"/>
              </w:rPr>
            </w:pPr>
          </w:p>
        </w:tc>
        <w:tc>
          <w:tcPr>
            <w:tcW w:w="730" w:type="dxa"/>
            <w:tcBorders>
              <w:top w:val="nil"/>
              <w:left w:val="nil"/>
              <w:bottom w:val="nil"/>
              <w:right w:val="nil"/>
            </w:tcBorders>
            <w:shd w:val="clear" w:color="auto" w:fill="auto"/>
            <w:noWrap/>
            <w:vAlign w:val="center"/>
            <w:hideMark/>
          </w:tcPr>
          <w:p w14:paraId="1555903D" w14:textId="77777777" w:rsidR="0061459C" w:rsidRPr="007337C6" w:rsidRDefault="0061459C" w:rsidP="00165C01">
            <w:pPr>
              <w:spacing w:after="0" w:line="240" w:lineRule="auto"/>
              <w:rPr>
                <w:rFonts w:ascii="Trebuchet MS" w:eastAsia="Times New Roman" w:hAnsi="Trebuchet MS" w:cs="Times New Roman"/>
                <w:sz w:val="16"/>
                <w:szCs w:val="16"/>
                <w:lang w:eastAsia="en-GB"/>
              </w:rPr>
            </w:pPr>
          </w:p>
        </w:tc>
        <w:tc>
          <w:tcPr>
            <w:tcW w:w="795" w:type="dxa"/>
            <w:tcBorders>
              <w:top w:val="nil"/>
              <w:left w:val="nil"/>
              <w:bottom w:val="nil"/>
              <w:right w:val="nil"/>
            </w:tcBorders>
            <w:shd w:val="clear" w:color="auto" w:fill="auto"/>
            <w:noWrap/>
            <w:vAlign w:val="center"/>
            <w:hideMark/>
          </w:tcPr>
          <w:p w14:paraId="0E8B43D0" w14:textId="77777777" w:rsidR="0061459C" w:rsidRPr="007337C6" w:rsidRDefault="0061459C" w:rsidP="00165C01">
            <w:pPr>
              <w:spacing w:after="0" w:line="240" w:lineRule="auto"/>
              <w:rPr>
                <w:rFonts w:ascii="Trebuchet MS" w:eastAsia="Times New Roman" w:hAnsi="Trebuchet MS" w:cs="Times New Roman"/>
                <w:sz w:val="16"/>
                <w:szCs w:val="16"/>
                <w:lang w:eastAsia="en-GB"/>
              </w:rPr>
            </w:pPr>
          </w:p>
        </w:tc>
      </w:tr>
      <w:tr w:rsidR="0061459C" w:rsidRPr="007337C6" w14:paraId="37947771" w14:textId="77777777" w:rsidTr="008F50C3">
        <w:trPr>
          <w:trHeight w:val="136"/>
        </w:trPr>
        <w:tc>
          <w:tcPr>
            <w:tcW w:w="1627" w:type="dxa"/>
            <w:tcBorders>
              <w:top w:val="nil"/>
              <w:left w:val="nil"/>
              <w:bottom w:val="nil"/>
              <w:right w:val="nil"/>
            </w:tcBorders>
            <w:shd w:val="clear" w:color="auto" w:fill="auto"/>
            <w:noWrap/>
            <w:vAlign w:val="bottom"/>
            <w:hideMark/>
          </w:tcPr>
          <w:p w14:paraId="366289BF" w14:textId="77777777" w:rsidR="0061459C" w:rsidRPr="007337C6" w:rsidRDefault="0061459C" w:rsidP="00165C01">
            <w:pPr>
              <w:spacing w:after="0" w:line="240" w:lineRule="auto"/>
              <w:rPr>
                <w:rFonts w:ascii="Trebuchet MS" w:eastAsia="Times New Roman" w:hAnsi="Trebuchet MS" w:cs="Times New Roman"/>
                <w:sz w:val="16"/>
                <w:szCs w:val="16"/>
                <w:lang w:eastAsia="en-GB"/>
              </w:rPr>
            </w:pPr>
          </w:p>
        </w:tc>
        <w:tc>
          <w:tcPr>
            <w:tcW w:w="728" w:type="dxa"/>
            <w:tcBorders>
              <w:top w:val="nil"/>
              <w:left w:val="nil"/>
              <w:bottom w:val="nil"/>
              <w:right w:val="nil"/>
            </w:tcBorders>
            <w:shd w:val="clear" w:color="auto" w:fill="auto"/>
            <w:noWrap/>
            <w:vAlign w:val="bottom"/>
            <w:hideMark/>
          </w:tcPr>
          <w:p w14:paraId="7D4B2605" w14:textId="77777777" w:rsidR="0061459C" w:rsidRPr="007337C6" w:rsidRDefault="0061459C" w:rsidP="00165C01">
            <w:pPr>
              <w:spacing w:after="0" w:line="240" w:lineRule="auto"/>
              <w:rPr>
                <w:rFonts w:ascii="Trebuchet MS" w:eastAsia="Times New Roman" w:hAnsi="Trebuchet MS" w:cs="Times New Roman"/>
                <w:sz w:val="16"/>
                <w:szCs w:val="16"/>
                <w:lang w:eastAsia="en-GB"/>
              </w:rPr>
            </w:pPr>
          </w:p>
        </w:tc>
        <w:tc>
          <w:tcPr>
            <w:tcW w:w="1055" w:type="dxa"/>
            <w:tcBorders>
              <w:top w:val="nil"/>
              <w:left w:val="nil"/>
              <w:bottom w:val="nil"/>
              <w:right w:val="nil"/>
            </w:tcBorders>
            <w:shd w:val="clear" w:color="auto" w:fill="auto"/>
            <w:noWrap/>
            <w:vAlign w:val="bottom"/>
            <w:hideMark/>
          </w:tcPr>
          <w:p w14:paraId="46FE9284" w14:textId="77777777" w:rsidR="0061459C" w:rsidRPr="007337C6" w:rsidRDefault="0061459C" w:rsidP="00165C01">
            <w:pPr>
              <w:spacing w:after="0" w:line="240" w:lineRule="auto"/>
              <w:rPr>
                <w:rFonts w:ascii="Trebuchet MS" w:eastAsia="Times New Roman" w:hAnsi="Trebuchet MS" w:cs="Times New Roman"/>
                <w:sz w:val="16"/>
                <w:szCs w:val="16"/>
                <w:lang w:eastAsia="en-GB"/>
              </w:rPr>
            </w:pPr>
          </w:p>
        </w:tc>
        <w:tc>
          <w:tcPr>
            <w:tcW w:w="909" w:type="dxa"/>
            <w:tcBorders>
              <w:top w:val="nil"/>
              <w:left w:val="nil"/>
              <w:bottom w:val="nil"/>
              <w:right w:val="nil"/>
            </w:tcBorders>
            <w:shd w:val="clear" w:color="auto" w:fill="auto"/>
            <w:noWrap/>
            <w:vAlign w:val="bottom"/>
            <w:hideMark/>
          </w:tcPr>
          <w:p w14:paraId="2F479FCE" w14:textId="77777777" w:rsidR="0061459C" w:rsidRPr="007337C6" w:rsidRDefault="0061459C" w:rsidP="00165C01">
            <w:pPr>
              <w:spacing w:after="0" w:line="240" w:lineRule="auto"/>
              <w:rPr>
                <w:rFonts w:ascii="Trebuchet MS" w:eastAsia="Times New Roman" w:hAnsi="Trebuchet MS" w:cs="Times New Roman"/>
                <w:sz w:val="16"/>
                <w:szCs w:val="16"/>
                <w:lang w:eastAsia="en-GB"/>
              </w:rPr>
            </w:pPr>
          </w:p>
        </w:tc>
        <w:tc>
          <w:tcPr>
            <w:tcW w:w="796" w:type="dxa"/>
            <w:tcBorders>
              <w:top w:val="nil"/>
              <w:left w:val="nil"/>
              <w:bottom w:val="nil"/>
              <w:right w:val="nil"/>
            </w:tcBorders>
            <w:shd w:val="clear" w:color="auto" w:fill="auto"/>
            <w:noWrap/>
            <w:vAlign w:val="bottom"/>
            <w:hideMark/>
          </w:tcPr>
          <w:p w14:paraId="69CA711C" w14:textId="77777777" w:rsidR="0061459C" w:rsidRPr="007337C6" w:rsidRDefault="0061459C" w:rsidP="00165C01">
            <w:pPr>
              <w:spacing w:after="0" w:line="240" w:lineRule="auto"/>
              <w:rPr>
                <w:rFonts w:ascii="Trebuchet MS" w:eastAsia="Times New Roman" w:hAnsi="Trebuchet MS" w:cs="Times New Roman"/>
                <w:sz w:val="16"/>
                <w:szCs w:val="16"/>
                <w:lang w:eastAsia="en-GB"/>
              </w:rPr>
            </w:pPr>
          </w:p>
        </w:tc>
        <w:tc>
          <w:tcPr>
            <w:tcW w:w="795" w:type="dxa"/>
            <w:tcBorders>
              <w:top w:val="nil"/>
              <w:left w:val="nil"/>
              <w:bottom w:val="nil"/>
              <w:right w:val="nil"/>
            </w:tcBorders>
            <w:shd w:val="clear" w:color="auto" w:fill="auto"/>
            <w:noWrap/>
            <w:vAlign w:val="bottom"/>
            <w:hideMark/>
          </w:tcPr>
          <w:p w14:paraId="16621FC2" w14:textId="77777777" w:rsidR="0061459C" w:rsidRPr="007337C6" w:rsidRDefault="0061459C" w:rsidP="00165C01">
            <w:pPr>
              <w:spacing w:after="0" w:line="240" w:lineRule="auto"/>
              <w:rPr>
                <w:rFonts w:ascii="Trebuchet MS" w:eastAsia="Times New Roman" w:hAnsi="Trebuchet MS" w:cs="Times New Roman"/>
                <w:sz w:val="16"/>
                <w:szCs w:val="16"/>
                <w:lang w:eastAsia="en-GB"/>
              </w:rPr>
            </w:pPr>
          </w:p>
        </w:tc>
        <w:tc>
          <w:tcPr>
            <w:tcW w:w="795" w:type="dxa"/>
            <w:tcBorders>
              <w:top w:val="nil"/>
              <w:left w:val="nil"/>
              <w:bottom w:val="nil"/>
              <w:right w:val="nil"/>
            </w:tcBorders>
            <w:shd w:val="clear" w:color="auto" w:fill="auto"/>
            <w:noWrap/>
            <w:vAlign w:val="bottom"/>
            <w:hideMark/>
          </w:tcPr>
          <w:p w14:paraId="4D690E1F" w14:textId="77777777" w:rsidR="0061459C" w:rsidRPr="007337C6" w:rsidRDefault="0061459C" w:rsidP="00165C01">
            <w:pPr>
              <w:spacing w:after="0" w:line="240" w:lineRule="auto"/>
              <w:rPr>
                <w:rFonts w:ascii="Trebuchet MS" w:eastAsia="Times New Roman" w:hAnsi="Trebuchet MS" w:cs="Times New Roman"/>
                <w:sz w:val="16"/>
                <w:szCs w:val="16"/>
                <w:lang w:eastAsia="en-GB"/>
              </w:rPr>
            </w:pPr>
          </w:p>
        </w:tc>
        <w:tc>
          <w:tcPr>
            <w:tcW w:w="1055" w:type="dxa"/>
            <w:tcBorders>
              <w:top w:val="nil"/>
              <w:left w:val="nil"/>
              <w:bottom w:val="nil"/>
              <w:right w:val="nil"/>
            </w:tcBorders>
            <w:shd w:val="clear" w:color="auto" w:fill="auto"/>
            <w:noWrap/>
            <w:vAlign w:val="bottom"/>
            <w:hideMark/>
          </w:tcPr>
          <w:p w14:paraId="524FA163" w14:textId="77777777" w:rsidR="0061459C" w:rsidRPr="007337C6" w:rsidRDefault="0061459C" w:rsidP="00165C01">
            <w:pPr>
              <w:spacing w:after="0" w:line="240" w:lineRule="auto"/>
              <w:rPr>
                <w:rFonts w:ascii="Trebuchet MS" w:eastAsia="Times New Roman" w:hAnsi="Trebuchet MS" w:cs="Times New Roman"/>
                <w:sz w:val="16"/>
                <w:szCs w:val="16"/>
                <w:lang w:eastAsia="en-GB"/>
              </w:rPr>
            </w:pPr>
          </w:p>
        </w:tc>
        <w:tc>
          <w:tcPr>
            <w:tcW w:w="974" w:type="dxa"/>
            <w:tcBorders>
              <w:top w:val="nil"/>
              <w:left w:val="nil"/>
              <w:bottom w:val="nil"/>
              <w:right w:val="nil"/>
            </w:tcBorders>
            <w:shd w:val="clear" w:color="auto" w:fill="auto"/>
            <w:noWrap/>
            <w:vAlign w:val="bottom"/>
            <w:hideMark/>
          </w:tcPr>
          <w:p w14:paraId="53EF42E8" w14:textId="77777777" w:rsidR="0061459C" w:rsidRPr="007337C6" w:rsidRDefault="0061459C" w:rsidP="00165C01">
            <w:pPr>
              <w:spacing w:after="0" w:line="240" w:lineRule="auto"/>
              <w:rPr>
                <w:rFonts w:ascii="Trebuchet MS" w:eastAsia="Times New Roman" w:hAnsi="Trebuchet MS" w:cs="Times New Roman"/>
                <w:sz w:val="16"/>
                <w:szCs w:val="16"/>
                <w:lang w:eastAsia="en-GB"/>
              </w:rPr>
            </w:pPr>
          </w:p>
        </w:tc>
        <w:tc>
          <w:tcPr>
            <w:tcW w:w="730" w:type="dxa"/>
            <w:tcBorders>
              <w:top w:val="nil"/>
              <w:left w:val="nil"/>
              <w:bottom w:val="nil"/>
              <w:right w:val="nil"/>
            </w:tcBorders>
            <w:shd w:val="clear" w:color="auto" w:fill="auto"/>
            <w:noWrap/>
            <w:vAlign w:val="bottom"/>
            <w:hideMark/>
          </w:tcPr>
          <w:p w14:paraId="1CE6A65C" w14:textId="77777777" w:rsidR="0061459C" w:rsidRPr="007337C6" w:rsidRDefault="0061459C" w:rsidP="00165C01">
            <w:pPr>
              <w:spacing w:after="0" w:line="240" w:lineRule="auto"/>
              <w:rPr>
                <w:rFonts w:ascii="Trebuchet MS" w:eastAsia="Times New Roman" w:hAnsi="Trebuchet MS" w:cs="Times New Roman"/>
                <w:sz w:val="16"/>
                <w:szCs w:val="16"/>
                <w:lang w:eastAsia="en-GB"/>
              </w:rPr>
            </w:pPr>
          </w:p>
        </w:tc>
        <w:tc>
          <w:tcPr>
            <w:tcW w:w="795" w:type="dxa"/>
            <w:tcBorders>
              <w:top w:val="nil"/>
              <w:left w:val="nil"/>
              <w:bottom w:val="nil"/>
              <w:right w:val="nil"/>
            </w:tcBorders>
            <w:shd w:val="clear" w:color="auto" w:fill="auto"/>
            <w:noWrap/>
            <w:vAlign w:val="bottom"/>
            <w:hideMark/>
          </w:tcPr>
          <w:p w14:paraId="5788D65C" w14:textId="77777777" w:rsidR="0061459C" w:rsidRPr="007337C6" w:rsidRDefault="0061459C" w:rsidP="00165C01">
            <w:pPr>
              <w:spacing w:after="0" w:line="240" w:lineRule="auto"/>
              <w:rPr>
                <w:rFonts w:ascii="Trebuchet MS" w:eastAsia="Times New Roman" w:hAnsi="Trebuchet MS" w:cs="Times New Roman"/>
                <w:sz w:val="16"/>
                <w:szCs w:val="16"/>
                <w:lang w:eastAsia="en-GB"/>
              </w:rPr>
            </w:pPr>
          </w:p>
        </w:tc>
      </w:tr>
      <w:tr w:rsidR="0061459C" w:rsidRPr="007337C6" w14:paraId="1DEE906A" w14:textId="77777777" w:rsidTr="008F50C3">
        <w:trPr>
          <w:trHeight w:val="272"/>
        </w:trPr>
        <w:tc>
          <w:tcPr>
            <w:tcW w:w="1627" w:type="dxa"/>
            <w:tcBorders>
              <w:top w:val="nil"/>
              <w:left w:val="nil"/>
              <w:bottom w:val="nil"/>
              <w:right w:val="nil"/>
            </w:tcBorders>
            <w:shd w:val="clear" w:color="auto" w:fill="auto"/>
            <w:noWrap/>
            <w:vAlign w:val="bottom"/>
            <w:hideMark/>
          </w:tcPr>
          <w:p w14:paraId="55B6F2BB" w14:textId="77777777" w:rsidR="0061459C" w:rsidRPr="007337C6" w:rsidRDefault="0061459C" w:rsidP="00165C01">
            <w:pPr>
              <w:spacing w:after="0" w:line="240" w:lineRule="auto"/>
              <w:rPr>
                <w:rFonts w:ascii="Trebuchet MS" w:eastAsia="Times New Roman" w:hAnsi="Trebuchet MS" w:cs="Times New Roman"/>
                <w:sz w:val="16"/>
                <w:szCs w:val="16"/>
                <w:lang w:eastAsia="en-GB"/>
              </w:rPr>
            </w:pPr>
          </w:p>
        </w:tc>
        <w:tc>
          <w:tcPr>
            <w:tcW w:w="3488" w:type="dxa"/>
            <w:gridSpan w:val="4"/>
            <w:tcBorders>
              <w:top w:val="single" w:sz="8" w:space="0" w:color="0070C0"/>
              <w:left w:val="single" w:sz="8" w:space="0" w:color="0070C0"/>
              <w:bottom w:val="single" w:sz="8" w:space="0" w:color="0070C0"/>
              <w:right w:val="nil"/>
            </w:tcBorders>
            <w:shd w:val="clear" w:color="auto" w:fill="auto"/>
            <w:noWrap/>
            <w:vAlign w:val="center"/>
            <w:hideMark/>
          </w:tcPr>
          <w:p w14:paraId="668AD11D" w14:textId="77777777" w:rsidR="0061459C" w:rsidRPr="007337C6" w:rsidRDefault="0061459C" w:rsidP="00165C01">
            <w:pPr>
              <w:spacing w:after="0" w:line="240" w:lineRule="auto"/>
              <w:jc w:val="center"/>
              <w:rPr>
                <w:rFonts w:ascii="Trebuchet MS" w:eastAsia="Times New Roman" w:hAnsi="Trebuchet MS" w:cs="Times New Roman"/>
                <w:color w:val="0070C0"/>
                <w:sz w:val="16"/>
                <w:szCs w:val="16"/>
                <w:lang w:eastAsia="en-GB"/>
              </w:rPr>
            </w:pPr>
            <w:r w:rsidRPr="007337C6">
              <w:rPr>
                <w:rFonts w:ascii="Trebuchet MS" w:eastAsia="Times New Roman" w:hAnsi="Trebuchet MS" w:cs="Times New Roman"/>
                <w:color w:val="0070C0"/>
                <w:sz w:val="16"/>
                <w:szCs w:val="16"/>
                <w:lang w:eastAsia="en-GB"/>
              </w:rPr>
              <w:t>Before Scheme</w:t>
            </w:r>
          </w:p>
        </w:tc>
        <w:tc>
          <w:tcPr>
            <w:tcW w:w="795" w:type="dxa"/>
            <w:tcBorders>
              <w:top w:val="single" w:sz="8" w:space="0" w:color="0070C0"/>
              <w:left w:val="nil"/>
              <w:bottom w:val="single" w:sz="8" w:space="0" w:color="0070C0"/>
              <w:right w:val="single" w:sz="8" w:space="0" w:color="0070C0"/>
            </w:tcBorders>
            <w:shd w:val="clear" w:color="auto" w:fill="auto"/>
            <w:noWrap/>
            <w:vAlign w:val="center"/>
            <w:hideMark/>
          </w:tcPr>
          <w:p w14:paraId="768535ED" w14:textId="77777777" w:rsidR="0061459C" w:rsidRPr="007337C6" w:rsidRDefault="0061459C" w:rsidP="00165C01">
            <w:pPr>
              <w:spacing w:after="0" w:line="240" w:lineRule="auto"/>
              <w:jc w:val="center"/>
              <w:rPr>
                <w:rFonts w:ascii="Trebuchet MS" w:eastAsia="Times New Roman" w:hAnsi="Trebuchet MS" w:cs="Times New Roman"/>
                <w:color w:val="0070C0"/>
                <w:sz w:val="16"/>
                <w:szCs w:val="16"/>
                <w:lang w:eastAsia="en-GB"/>
              </w:rPr>
            </w:pPr>
            <w:r w:rsidRPr="007337C6">
              <w:rPr>
                <w:rFonts w:ascii="Trebuchet MS" w:eastAsia="Times New Roman" w:hAnsi="Trebuchet MS" w:cs="Times New Roman"/>
                <w:color w:val="0070C0"/>
                <w:sz w:val="16"/>
                <w:szCs w:val="16"/>
                <w:lang w:eastAsia="en-GB"/>
              </w:rPr>
              <w:t> </w:t>
            </w:r>
          </w:p>
        </w:tc>
        <w:tc>
          <w:tcPr>
            <w:tcW w:w="4349" w:type="dxa"/>
            <w:gridSpan w:val="5"/>
            <w:tcBorders>
              <w:top w:val="single" w:sz="8" w:space="0" w:color="0070C0"/>
              <w:left w:val="nil"/>
              <w:bottom w:val="single" w:sz="8" w:space="0" w:color="0070C0"/>
              <w:right w:val="single" w:sz="8" w:space="0" w:color="0070C0"/>
            </w:tcBorders>
            <w:shd w:val="clear" w:color="auto" w:fill="auto"/>
            <w:noWrap/>
            <w:vAlign w:val="center"/>
            <w:hideMark/>
          </w:tcPr>
          <w:p w14:paraId="6F72B09E" w14:textId="77777777" w:rsidR="0061459C" w:rsidRPr="007337C6" w:rsidRDefault="0061459C" w:rsidP="00165C01">
            <w:pPr>
              <w:spacing w:after="0" w:line="240" w:lineRule="auto"/>
              <w:jc w:val="center"/>
              <w:rPr>
                <w:rFonts w:ascii="Trebuchet MS" w:eastAsia="Times New Roman" w:hAnsi="Trebuchet MS" w:cs="Times New Roman"/>
                <w:color w:val="0070C0"/>
                <w:sz w:val="16"/>
                <w:szCs w:val="16"/>
                <w:lang w:eastAsia="en-GB"/>
              </w:rPr>
            </w:pPr>
            <w:r w:rsidRPr="007337C6">
              <w:rPr>
                <w:rFonts w:ascii="Trebuchet MS" w:eastAsia="Times New Roman" w:hAnsi="Trebuchet MS" w:cs="Times New Roman"/>
                <w:color w:val="0070C0"/>
                <w:sz w:val="16"/>
                <w:szCs w:val="16"/>
                <w:lang w:eastAsia="en-GB"/>
              </w:rPr>
              <w:t>After Scheme</w:t>
            </w:r>
          </w:p>
        </w:tc>
      </w:tr>
      <w:tr w:rsidR="0061459C" w:rsidRPr="007337C6" w14:paraId="17A656A5" w14:textId="77777777" w:rsidTr="008F50C3">
        <w:trPr>
          <w:trHeight w:val="293"/>
        </w:trPr>
        <w:tc>
          <w:tcPr>
            <w:tcW w:w="1627" w:type="dxa"/>
            <w:tcBorders>
              <w:top w:val="nil"/>
              <w:left w:val="nil"/>
              <w:bottom w:val="nil"/>
              <w:right w:val="nil"/>
            </w:tcBorders>
            <w:shd w:val="clear" w:color="auto" w:fill="auto"/>
            <w:noWrap/>
            <w:vAlign w:val="center"/>
            <w:hideMark/>
          </w:tcPr>
          <w:p w14:paraId="64270574" w14:textId="77777777" w:rsidR="0061459C" w:rsidRPr="007337C6" w:rsidRDefault="0061459C" w:rsidP="00165C01">
            <w:pPr>
              <w:spacing w:after="0" w:line="240" w:lineRule="auto"/>
              <w:jc w:val="center"/>
              <w:rPr>
                <w:rFonts w:ascii="Trebuchet MS" w:eastAsia="Times New Roman" w:hAnsi="Trebuchet MS" w:cs="Times New Roman"/>
                <w:b/>
                <w:bCs/>
                <w:color w:val="000000"/>
                <w:sz w:val="16"/>
                <w:szCs w:val="16"/>
                <w:lang w:eastAsia="en-GB"/>
              </w:rPr>
            </w:pPr>
            <w:r w:rsidRPr="007337C6">
              <w:rPr>
                <w:rFonts w:ascii="Trebuchet MS" w:eastAsia="Times New Roman" w:hAnsi="Trebuchet MS" w:cs="Times New Roman"/>
                <w:b/>
                <w:bCs/>
                <w:color w:val="000000"/>
                <w:sz w:val="16"/>
                <w:szCs w:val="16"/>
                <w:lang w:eastAsia="en-GB"/>
              </w:rPr>
              <w:t>LGI</w:t>
            </w:r>
          </w:p>
        </w:tc>
        <w:tc>
          <w:tcPr>
            <w:tcW w:w="728" w:type="dxa"/>
            <w:tcBorders>
              <w:top w:val="nil"/>
              <w:left w:val="single" w:sz="8" w:space="0" w:color="0070C0"/>
              <w:bottom w:val="single" w:sz="8" w:space="0" w:color="0070C0"/>
              <w:right w:val="nil"/>
            </w:tcBorders>
            <w:shd w:val="clear" w:color="auto" w:fill="auto"/>
            <w:noWrap/>
            <w:vAlign w:val="center"/>
            <w:hideMark/>
          </w:tcPr>
          <w:p w14:paraId="48090FE7" w14:textId="77777777" w:rsidR="0061459C" w:rsidRPr="007337C6" w:rsidRDefault="0061459C" w:rsidP="00165C01">
            <w:pPr>
              <w:spacing w:after="0" w:line="240" w:lineRule="auto"/>
              <w:jc w:val="right"/>
              <w:rPr>
                <w:rFonts w:ascii="Trebuchet MS" w:eastAsia="Times New Roman" w:hAnsi="Trebuchet MS" w:cs="Times New Roman"/>
                <w:color w:val="0070C0"/>
                <w:sz w:val="16"/>
                <w:szCs w:val="16"/>
                <w:lang w:eastAsia="en-GB"/>
              </w:rPr>
            </w:pPr>
            <w:r w:rsidRPr="007337C6">
              <w:rPr>
                <w:rFonts w:ascii="Trebuchet MS" w:eastAsia="Times New Roman" w:hAnsi="Trebuchet MS" w:cs="Times New Roman"/>
                <w:color w:val="0070C0"/>
                <w:sz w:val="16"/>
                <w:szCs w:val="16"/>
                <w:lang w:eastAsia="en-GB"/>
              </w:rPr>
              <w:t>UK</w:t>
            </w:r>
          </w:p>
        </w:tc>
        <w:tc>
          <w:tcPr>
            <w:tcW w:w="1055" w:type="dxa"/>
            <w:tcBorders>
              <w:top w:val="nil"/>
              <w:left w:val="nil"/>
              <w:bottom w:val="single" w:sz="8" w:space="0" w:color="0070C0"/>
              <w:right w:val="nil"/>
            </w:tcBorders>
            <w:shd w:val="clear" w:color="auto" w:fill="auto"/>
            <w:noWrap/>
            <w:vAlign w:val="center"/>
            <w:hideMark/>
          </w:tcPr>
          <w:p w14:paraId="1EB3E5D0" w14:textId="77777777" w:rsidR="0061459C" w:rsidRPr="007337C6" w:rsidRDefault="0061459C" w:rsidP="00165C01">
            <w:pPr>
              <w:spacing w:after="0" w:line="240" w:lineRule="auto"/>
              <w:jc w:val="right"/>
              <w:rPr>
                <w:rFonts w:ascii="Trebuchet MS" w:eastAsia="Times New Roman" w:hAnsi="Trebuchet MS" w:cs="Times New Roman"/>
                <w:color w:val="0070C0"/>
                <w:sz w:val="16"/>
                <w:szCs w:val="16"/>
                <w:lang w:eastAsia="en-GB"/>
              </w:rPr>
            </w:pPr>
            <w:r w:rsidRPr="007337C6">
              <w:rPr>
                <w:rFonts w:ascii="Trebuchet MS" w:eastAsia="Times New Roman" w:hAnsi="Trebuchet MS" w:cs="Times New Roman"/>
                <w:color w:val="0070C0"/>
                <w:sz w:val="16"/>
                <w:szCs w:val="16"/>
                <w:lang w:eastAsia="en-GB"/>
              </w:rPr>
              <w:t>Switzerland</w:t>
            </w:r>
          </w:p>
        </w:tc>
        <w:tc>
          <w:tcPr>
            <w:tcW w:w="909" w:type="dxa"/>
            <w:tcBorders>
              <w:top w:val="nil"/>
              <w:left w:val="nil"/>
              <w:bottom w:val="single" w:sz="8" w:space="0" w:color="0070C0"/>
              <w:right w:val="nil"/>
            </w:tcBorders>
            <w:shd w:val="clear" w:color="auto" w:fill="auto"/>
            <w:noWrap/>
            <w:vAlign w:val="center"/>
            <w:hideMark/>
          </w:tcPr>
          <w:p w14:paraId="76842EAE" w14:textId="77777777" w:rsidR="0061459C" w:rsidRPr="007337C6" w:rsidRDefault="0061459C" w:rsidP="00165C01">
            <w:pPr>
              <w:spacing w:after="0" w:line="240" w:lineRule="auto"/>
              <w:jc w:val="right"/>
              <w:rPr>
                <w:rFonts w:ascii="Trebuchet MS" w:eastAsia="Times New Roman" w:hAnsi="Trebuchet MS" w:cs="Times New Roman"/>
                <w:color w:val="0070C0"/>
                <w:sz w:val="16"/>
                <w:szCs w:val="16"/>
                <w:lang w:eastAsia="en-GB"/>
              </w:rPr>
            </w:pPr>
            <w:r w:rsidRPr="007337C6">
              <w:rPr>
                <w:rFonts w:ascii="Trebuchet MS" w:eastAsia="Times New Roman" w:hAnsi="Trebuchet MS" w:cs="Times New Roman"/>
                <w:color w:val="0070C0"/>
                <w:sz w:val="16"/>
                <w:szCs w:val="16"/>
                <w:lang w:eastAsia="en-GB"/>
              </w:rPr>
              <w:t>South Africa</w:t>
            </w:r>
          </w:p>
        </w:tc>
        <w:tc>
          <w:tcPr>
            <w:tcW w:w="796" w:type="dxa"/>
            <w:tcBorders>
              <w:top w:val="nil"/>
              <w:left w:val="nil"/>
              <w:bottom w:val="single" w:sz="8" w:space="0" w:color="0070C0"/>
              <w:right w:val="nil"/>
            </w:tcBorders>
            <w:shd w:val="clear" w:color="auto" w:fill="auto"/>
            <w:noWrap/>
            <w:vAlign w:val="center"/>
            <w:hideMark/>
          </w:tcPr>
          <w:p w14:paraId="47FFCC69" w14:textId="77777777" w:rsidR="0061459C" w:rsidRPr="007337C6" w:rsidRDefault="0061459C" w:rsidP="00165C01">
            <w:pPr>
              <w:spacing w:after="0" w:line="240" w:lineRule="auto"/>
              <w:jc w:val="right"/>
              <w:rPr>
                <w:rFonts w:ascii="Trebuchet MS" w:eastAsia="Times New Roman" w:hAnsi="Trebuchet MS" w:cs="Times New Roman"/>
                <w:color w:val="0070C0"/>
                <w:sz w:val="16"/>
                <w:szCs w:val="16"/>
                <w:lang w:eastAsia="en-GB"/>
              </w:rPr>
            </w:pPr>
            <w:r w:rsidRPr="007337C6">
              <w:rPr>
                <w:rFonts w:ascii="Trebuchet MS" w:eastAsia="Times New Roman" w:hAnsi="Trebuchet MS" w:cs="Times New Roman"/>
                <w:color w:val="0070C0"/>
                <w:sz w:val="16"/>
                <w:szCs w:val="16"/>
                <w:lang w:eastAsia="en-GB"/>
              </w:rPr>
              <w:t>EU</w:t>
            </w:r>
          </w:p>
        </w:tc>
        <w:tc>
          <w:tcPr>
            <w:tcW w:w="795" w:type="dxa"/>
            <w:tcBorders>
              <w:top w:val="nil"/>
              <w:left w:val="single" w:sz="8" w:space="0" w:color="0070C0"/>
              <w:bottom w:val="single" w:sz="8" w:space="0" w:color="0070C0"/>
              <w:right w:val="single" w:sz="8" w:space="0" w:color="0070C0"/>
            </w:tcBorders>
            <w:shd w:val="clear" w:color="auto" w:fill="auto"/>
            <w:noWrap/>
            <w:vAlign w:val="center"/>
            <w:hideMark/>
          </w:tcPr>
          <w:p w14:paraId="3B51B415" w14:textId="77777777" w:rsidR="0061459C" w:rsidRPr="007337C6" w:rsidRDefault="0061459C" w:rsidP="00165C01">
            <w:pPr>
              <w:spacing w:after="0" w:line="240" w:lineRule="auto"/>
              <w:jc w:val="right"/>
              <w:rPr>
                <w:rFonts w:ascii="Trebuchet MS" w:eastAsia="Times New Roman" w:hAnsi="Trebuchet MS" w:cs="Times New Roman"/>
                <w:color w:val="0070C0"/>
                <w:sz w:val="16"/>
                <w:szCs w:val="16"/>
                <w:lang w:eastAsia="en-GB"/>
              </w:rPr>
            </w:pPr>
            <w:r w:rsidRPr="007337C6">
              <w:rPr>
                <w:rFonts w:ascii="Trebuchet MS" w:eastAsia="Times New Roman" w:hAnsi="Trebuchet MS" w:cs="Times New Roman"/>
                <w:color w:val="0070C0"/>
                <w:sz w:val="16"/>
                <w:szCs w:val="16"/>
                <w:lang w:eastAsia="en-GB"/>
              </w:rPr>
              <w:t>Total</w:t>
            </w:r>
          </w:p>
        </w:tc>
        <w:tc>
          <w:tcPr>
            <w:tcW w:w="795" w:type="dxa"/>
            <w:tcBorders>
              <w:top w:val="nil"/>
              <w:left w:val="nil"/>
              <w:bottom w:val="single" w:sz="8" w:space="0" w:color="0070C0"/>
              <w:right w:val="nil"/>
            </w:tcBorders>
            <w:shd w:val="clear" w:color="auto" w:fill="auto"/>
            <w:noWrap/>
            <w:vAlign w:val="center"/>
            <w:hideMark/>
          </w:tcPr>
          <w:p w14:paraId="48765E99" w14:textId="77777777" w:rsidR="0061459C" w:rsidRPr="007337C6" w:rsidRDefault="0061459C" w:rsidP="00165C01">
            <w:pPr>
              <w:spacing w:after="0" w:line="240" w:lineRule="auto"/>
              <w:jc w:val="right"/>
              <w:rPr>
                <w:rFonts w:ascii="Trebuchet MS" w:eastAsia="Times New Roman" w:hAnsi="Trebuchet MS" w:cs="Times New Roman"/>
                <w:color w:val="0070C0"/>
                <w:sz w:val="16"/>
                <w:szCs w:val="16"/>
                <w:lang w:eastAsia="en-GB"/>
              </w:rPr>
            </w:pPr>
            <w:r w:rsidRPr="007337C6">
              <w:rPr>
                <w:rFonts w:ascii="Trebuchet MS" w:eastAsia="Times New Roman" w:hAnsi="Trebuchet MS" w:cs="Times New Roman"/>
                <w:color w:val="0070C0"/>
                <w:sz w:val="16"/>
                <w:szCs w:val="16"/>
                <w:lang w:eastAsia="en-GB"/>
              </w:rPr>
              <w:t>UK</w:t>
            </w:r>
          </w:p>
        </w:tc>
        <w:tc>
          <w:tcPr>
            <w:tcW w:w="1055" w:type="dxa"/>
            <w:tcBorders>
              <w:top w:val="nil"/>
              <w:left w:val="nil"/>
              <w:bottom w:val="single" w:sz="8" w:space="0" w:color="0070C0"/>
              <w:right w:val="nil"/>
            </w:tcBorders>
            <w:shd w:val="clear" w:color="auto" w:fill="auto"/>
            <w:noWrap/>
            <w:vAlign w:val="center"/>
            <w:hideMark/>
          </w:tcPr>
          <w:p w14:paraId="0017ECAD" w14:textId="77777777" w:rsidR="0061459C" w:rsidRPr="007337C6" w:rsidRDefault="0061459C" w:rsidP="00165C01">
            <w:pPr>
              <w:spacing w:after="0" w:line="240" w:lineRule="auto"/>
              <w:jc w:val="right"/>
              <w:rPr>
                <w:rFonts w:ascii="Trebuchet MS" w:eastAsia="Times New Roman" w:hAnsi="Trebuchet MS" w:cs="Times New Roman"/>
                <w:color w:val="0070C0"/>
                <w:sz w:val="16"/>
                <w:szCs w:val="16"/>
                <w:lang w:eastAsia="en-GB"/>
              </w:rPr>
            </w:pPr>
            <w:r w:rsidRPr="007337C6">
              <w:rPr>
                <w:rFonts w:ascii="Trebuchet MS" w:eastAsia="Times New Roman" w:hAnsi="Trebuchet MS" w:cs="Times New Roman"/>
                <w:color w:val="0070C0"/>
                <w:sz w:val="16"/>
                <w:szCs w:val="16"/>
                <w:lang w:eastAsia="en-GB"/>
              </w:rPr>
              <w:t>Switzerland</w:t>
            </w:r>
          </w:p>
        </w:tc>
        <w:tc>
          <w:tcPr>
            <w:tcW w:w="974" w:type="dxa"/>
            <w:tcBorders>
              <w:top w:val="nil"/>
              <w:left w:val="nil"/>
              <w:bottom w:val="single" w:sz="8" w:space="0" w:color="0070C0"/>
              <w:right w:val="nil"/>
            </w:tcBorders>
            <w:shd w:val="clear" w:color="auto" w:fill="auto"/>
            <w:noWrap/>
            <w:vAlign w:val="center"/>
            <w:hideMark/>
          </w:tcPr>
          <w:p w14:paraId="30DF5B33" w14:textId="77777777" w:rsidR="0061459C" w:rsidRPr="007337C6" w:rsidRDefault="0061459C" w:rsidP="00165C01">
            <w:pPr>
              <w:spacing w:after="0" w:line="240" w:lineRule="auto"/>
              <w:jc w:val="right"/>
              <w:rPr>
                <w:rFonts w:ascii="Trebuchet MS" w:eastAsia="Times New Roman" w:hAnsi="Trebuchet MS" w:cs="Times New Roman"/>
                <w:color w:val="0070C0"/>
                <w:sz w:val="16"/>
                <w:szCs w:val="16"/>
                <w:lang w:eastAsia="en-GB"/>
              </w:rPr>
            </w:pPr>
            <w:r w:rsidRPr="007337C6">
              <w:rPr>
                <w:rFonts w:ascii="Trebuchet MS" w:eastAsia="Times New Roman" w:hAnsi="Trebuchet MS" w:cs="Times New Roman"/>
                <w:color w:val="0070C0"/>
                <w:sz w:val="16"/>
                <w:szCs w:val="16"/>
                <w:lang w:eastAsia="en-GB"/>
              </w:rPr>
              <w:t>South Africa</w:t>
            </w:r>
          </w:p>
        </w:tc>
        <w:tc>
          <w:tcPr>
            <w:tcW w:w="730" w:type="dxa"/>
            <w:tcBorders>
              <w:top w:val="nil"/>
              <w:left w:val="nil"/>
              <w:bottom w:val="single" w:sz="8" w:space="0" w:color="0070C0"/>
              <w:right w:val="nil"/>
            </w:tcBorders>
            <w:shd w:val="clear" w:color="auto" w:fill="auto"/>
            <w:noWrap/>
            <w:vAlign w:val="center"/>
            <w:hideMark/>
          </w:tcPr>
          <w:p w14:paraId="03BA8FC5" w14:textId="77777777" w:rsidR="0061459C" w:rsidRPr="007337C6" w:rsidRDefault="0061459C" w:rsidP="00165C01">
            <w:pPr>
              <w:spacing w:after="0" w:line="240" w:lineRule="auto"/>
              <w:jc w:val="right"/>
              <w:rPr>
                <w:rFonts w:ascii="Trebuchet MS" w:eastAsia="Times New Roman" w:hAnsi="Trebuchet MS" w:cs="Times New Roman"/>
                <w:color w:val="0070C0"/>
                <w:sz w:val="16"/>
                <w:szCs w:val="16"/>
                <w:lang w:eastAsia="en-GB"/>
              </w:rPr>
            </w:pPr>
            <w:r w:rsidRPr="007337C6">
              <w:rPr>
                <w:rFonts w:ascii="Trebuchet MS" w:eastAsia="Times New Roman" w:hAnsi="Trebuchet MS" w:cs="Times New Roman"/>
                <w:color w:val="0070C0"/>
                <w:sz w:val="16"/>
                <w:szCs w:val="16"/>
                <w:lang w:eastAsia="en-GB"/>
              </w:rPr>
              <w:t>EU</w:t>
            </w:r>
          </w:p>
        </w:tc>
        <w:tc>
          <w:tcPr>
            <w:tcW w:w="795" w:type="dxa"/>
            <w:tcBorders>
              <w:top w:val="nil"/>
              <w:left w:val="single" w:sz="8" w:space="0" w:color="0070C0"/>
              <w:bottom w:val="single" w:sz="8" w:space="0" w:color="0070C0"/>
              <w:right w:val="single" w:sz="8" w:space="0" w:color="0070C0"/>
            </w:tcBorders>
            <w:shd w:val="clear" w:color="auto" w:fill="auto"/>
            <w:noWrap/>
            <w:vAlign w:val="center"/>
            <w:hideMark/>
          </w:tcPr>
          <w:p w14:paraId="272A2A52" w14:textId="77777777" w:rsidR="0061459C" w:rsidRPr="007337C6" w:rsidRDefault="0061459C" w:rsidP="00165C01">
            <w:pPr>
              <w:spacing w:after="0" w:line="240" w:lineRule="auto"/>
              <w:jc w:val="right"/>
              <w:rPr>
                <w:rFonts w:ascii="Trebuchet MS" w:eastAsia="Times New Roman" w:hAnsi="Trebuchet MS" w:cs="Times New Roman"/>
                <w:color w:val="0070C0"/>
                <w:sz w:val="16"/>
                <w:szCs w:val="16"/>
                <w:lang w:eastAsia="en-GB"/>
              </w:rPr>
            </w:pPr>
            <w:r w:rsidRPr="007337C6">
              <w:rPr>
                <w:rFonts w:ascii="Trebuchet MS" w:eastAsia="Times New Roman" w:hAnsi="Trebuchet MS" w:cs="Times New Roman"/>
                <w:color w:val="0070C0"/>
                <w:sz w:val="16"/>
                <w:szCs w:val="16"/>
                <w:lang w:eastAsia="en-GB"/>
              </w:rPr>
              <w:t>Total</w:t>
            </w:r>
          </w:p>
        </w:tc>
      </w:tr>
      <w:tr w:rsidR="008F50C3" w:rsidRPr="007337C6" w14:paraId="4D5DF406" w14:textId="77777777" w:rsidTr="001E2B2B">
        <w:trPr>
          <w:trHeight w:val="272"/>
        </w:trPr>
        <w:tc>
          <w:tcPr>
            <w:tcW w:w="1627" w:type="dxa"/>
            <w:tcBorders>
              <w:top w:val="single" w:sz="8" w:space="0" w:color="0070C0"/>
              <w:left w:val="single" w:sz="8" w:space="0" w:color="0070C0"/>
              <w:bottom w:val="single" w:sz="8" w:space="0" w:color="0070C0"/>
              <w:right w:val="single" w:sz="8" w:space="0" w:color="0070C0"/>
            </w:tcBorders>
            <w:shd w:val="clear" w:color="auto" w:fill="auto"/>
            <w:noWrap/>
            <w:vAlign w:val="center"/>
            <w:hideMark/>
          </w:tcPr>
          <w:p w14:paraId="6356BD06" w14:textId="77777777" w:rsidR="008F50C3" w:rsidRPr="007337C6" w:rsidRDefault="008F50C3" w:rsidP="008F50C3">
            <w:pPr>
              <w:spacing w:after="0" w:line="240" w:lineRule="auto"/>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Claims Provision</w:t>
            </w:r>
          </w:p>
        </w:tc>
        <w:tc>
          <w:tcPr>
            <w:tcW w:w="728" w:type="dxa"/>
            <w:tcBorders>
              <w:top w:val="nil"/>
              <w:left w:val="nil"/>
              <w:bottom w:val="single" w:sz="8" w:space="0" w:color="0070C0"/>
              <w:right w:val="nil"/>
            </w:tcBorders>
            <w:shd w:val="clear" w:color="auto" w:fill="auto"/>
            <w:noWrap/>
            <w:vAlign w:val="bottom"/>
            <w:hideMark/>
          </w:tcPr>
          <w:p w14:paraId="119E7B28" w14:textId="77777777" w:rsidR="008F50C3" w:rsidRPr="007337C6" w:rsidRDefault="008F50C3"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721</w:t>
            </w:r>
          </w:p>
        </w:tc>
        <w:tc>
          <w:tcPr>
            <w:tcW w:w="1055" w:type="dxa"/>
            <w:tcBorders>
              <w:top w:val="nil"/>
              <w:left w:val="nil"/>
              <w:bottom w:val="single" w:sz="8" w:space="0" w:color="0070C0"/>
              <w:right w:val="nil"/>
            </w:tcBorders>
            <w:shd w:val="clear" w:color="auto" w:fill="auto"/>
            <w:noWrap/>
            <w:vAlign w:val="bottom"/>
            <w:hideMark/>
          </w:tcPr>
          <w:p w14:paraId="07E75732" w14:textId="77777777" w:rsidR="008F50C3" w:rsidRPr="007337C6" w:rsidRDefault="008F50C3"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0</w:t>
            </w:r>
          </w:p>
        </w:tc>
        <w:tc>
          <w:tcPr>
            <w:tcW w:w="909" w:type="dxa"/>
            <w:tcBorders>
              <w:top w:val="nil"/>
              <w:left w:val="nil"/>
              <w:bottom w:val="single" w:sz="8" w:space="0" w:color="0070C0"/>
              <w:right w:val="nil"/>
            </w:tcBorders>
            <w:shd w:val="clear" w:color="auto" w:fill="auto"/>
            <w:noWrap/>
            <w:vAlign w:val="bottom"/>
            <w:hideMark/>
          </w:tcPr>
          <w:p w14:paraId="5108CC57" w14:textId="77777777" w:rsidR="008F50C3" w:rsidRPr="007337C6" w:rsidRDefault="008F50C3"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0</w:t>
            </w:r>
          </w:p>
        </w:tc>
        <w:tc>
          <w:tcPr>
            <w:tcW w:w="796" w:type="dxa"/>
            <w:tcBorders>
              <w:top w:val="nil"/>
              <w:left w:val="nil"/>
              <w:bottom w:val="single" w:sz="8" w:space="0" w:color="0070C0"/>
              <w:right w:val="nil"/>
            </w:tcBorders>
            <w:shd w:val="clear" w:color="auto" w:fill="auto"/>
            <w:noWrap/>
            <w:vAlign w:val="bottom"/>
            <w:hideMark/>
          </w:tcPr>
          <w:p w14:paraId="599401C4" w14:textId="599E690B" w:rsidR="008F50C3" w:rsidRPr="007337C6" w:rsidRDefault="008F50C3"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215</w:t>
            </w:r>
          </w:p>
        </w:tc>
        <w:tc>
          <w:tcPr>
            <w:tcW w:w="795" w:type="dxa"/>
            <w:tcBorders>
              <w:top w:val="nil"/>
              <w:left w:val="single" w:sz="8" w:space="0" w:color="0070C0"/>
              <w:bottom w:val="single" w:sz="8" w:space="0" w:color="0070C0"/>
              <w:right w:val="single" w:sz="8" w:space="0" w:color="0070C0"/>
            </w:tcBorders>
            <w:shd w:val="clear" w:color="auto" w:fill="auto"/>
            <w:noWrap/>
            <w:vAlign w:val="bottom"/>
            <w:hideMark/>
          </w:tcPr>
          <w:p w14:paraId="1E14A614" w14:textId="3D4A81C3" w:rsidR="008F50C3" w:rsidRPr="007337C6" w:rsidRDefault="008F50C3"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936</w:t>
            </w:r>
          </w:p>
        </w:tc>
        <w:tc>
          <w:tcPr>
            <w:tcW w:w="795" w:type="dxa"/>
            <w:tcBorders>
              <w:top w:val="nil"/>
              <w:left w:val="nil"/>
              <w:bottom w:val="single" w:sz="8" w:space="0" w:color="0070C0"/>
              <w:right w:val="nil"/>
            </w:tcBorders>
            <w:shd w:val="clear" w:color="auto" w:fill="auto"/>
            <w:noWrap/>
            <w:vAlign w:val="bottom"/>
            <w:hideMark/>
          </w:tcPr>
          <w:p w14:paraId="193419FF" w14:textId="77777777" w:rsidR="008F50C3" w:rsidRPr="007337C6" w:rsidRDefault="008F50C3"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721</w:t>
            </w:r>
          </w:p>
        </w:tc>
        <w:tc>
          <w:tcPr>
            <w:tcW w:w="1055" w:type="dxa"/>
            <w:tcBorders>
              <w:top w:val="nil"/>
              <w:left w:val="nil"/>
              <w:bottom w:val="single" w:sz="8" w:space="0" w:color="0070C0"/>
              <w:right w:val="nil"/>
            </w:tcBorders>
            <w:shd w:val="clear" w:color="auto" w:fill="auto"/>
            <w:noWrap/>
            <w:vAlign w:val="bottom"/>
            <w:hideMark/>
          </w:tcPr>
          <w:p w14:paraId="7ED5FF1C" w14:textId="77777777" w:rsidR="008F50C3" w:rsidRPr="007337C6" w:rsidRDefault="008F50C3"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0</w:t>
            </w:r>
          </w:p>
        </w:tc>
        <w:tc>
          <w:tcPr>
            <w:tcW w:w="974" w:type="dxa"/>
            <w:tcBorders>
              <w:top w:val="nil"/>
              <w:left w:val="nil"/>
              <w:bottom w:val="single" w:sz="8" w:space="0" w:color="0070C0"/>
              <w:right w:val="nil"/>
            </w:tcBorders>
            <w:shd w:val="clear" w:color="auto" w:fill="auto"/>
            <w:noWrap/>
            <w:vAlign w:val="bottom"/>
            <w:hideMark/>
          </w:tcPr>
          <w:p w14:paraId="72A8CD34" w14:textId="77777777" w:rsidR="008F50C3" w:rsidRPr="007337C6" w:rsidRDefault="008F50C3"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0</w:t>
            </w:r>
          </w:p>
        </w:tc>
        <w:tc>
          <w:tcPr>
            <w:tcW w:w="730" w:type="dxa"/>
            <w:tcBorders>
              <w:top w:val="nil"/>
              <w:left w:val="nil"/>
              <w:bottom w:val="single" w:sz="8" w:space="0" w:color="0070C0"/>
              <w:right w:val="nil"/>
            </w:tcBorders>
            <w:shd w:val="clear" w:color="auto" w:fill="auto"/>
            <w:noWrap/>
            <w:vAlign w:val="bottom"/>
            <w:hideMark/>
          </w:tcPr>
          <w:p w14:paraId="50D543CB" w14:textId="77777777" w:rsidR="008F50C3" w:rsidRPr="007337C6" w:rsidRDefault="008F50C3"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0</w:t>
            </w:r>
          </w:p>
        </w:tc>
        <w:tc>
          <w:tcPr>
            <w:tcW w:w="795" w:type="dxa"/>
            <w:tcBorders>
              <w:top w:val="nil"/>
              <w:left w:val="single" w:sz="8" w:space="0" w:color="0070C0"/>
              <w:bottom w:val="single" w:sz="8" w:space="0" w:color="0070C0"/>
              <w:right w:val="single" w:sz="8" w:space="0" w:color="0070C0"/>
            </w:tcBorders>
            <w:shd w:val="clear" w:color="auto" w:fill="auto"/>
            <w:noWrap/>
            <w:vAlign w:val="bottom"/>
            <w:hideMark/>
          </w:tcPr>
          <w:p w14:paraId="20969EFC" w14:textId="77777777" w:rsidR="008F50C3" w:rsidRPr="007337C6" w:rsidRDefault="008F50C3"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721</w:t>
            </w:r>
          </w:p>
        </w:tc>
      </w:tr>
      <w:tr w:rsidR="008F50C3" w:rsidRPr="007337C6" w14:paraId="62246A8B" w14:textId="77777777" w:rsidTr="001E2B2B">
        <w:trPr>
          <w:trHeight w:val="272"/>
        </w:trPr>
        <w:tc>
          <w:tcPr>
            <w:tcW w:w="1627" w:type="dxa"/>
            <w:tcBorders>
              <w:top w:val="nil"/>
              <w:left w:val="single" w:sz="8" w:space="0" w:color="0070C0"/>
              <w:bottom w:val="single" w:sz="8" w:space="0" w:color="0070C0"/>
              <w:right w:val="single" w:sz="8" w:space="0" w:color="0070C0"/>
            </w:tcBorders>
            <w:shd w:val="clear" w:color="auto" w:fill="auto"/>
            <w:noWrap/>
            <w:vAlign w:val="center"/>
            <w:hideMark/>
          </w:tcPr>
          <w:p w14:paraId="28677926" w14:textId="77777777" w:rsidR="008F50C3" w:rsidRPr="007337C6" w:rsidRDefault="008F50C3" w:rsidP="008F50C3">
            <w:pPr>
              <w:spacing w:after="0" w:line="240" w:lineRule="auto"/>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Premium Provision</w:t>
            </w:r>
          </w:p>
        </w:tc>
        <w:tc>
          <w:tcPr>
            <w:tcW w:w="728" w:type="dxa"/>
            <w:tcBorders>
              <w:top w:val="nil"/>
              <w:left w:val="nil"/>
              <w:bottom w:val="single" w:sz="8" w:space="0" w:color="0070C0"/>
              <w:right w:val="nil"/>
            </w:tcBorders>
            <w:shd w:val="clear" w:color="auto" w:fill="auto"/>
            <w:noWrap/>
            <w:vAlign w:val="bottom"/>
            <w:hideMark/>
          </w:tcPr>
          <w:p w14:paraId="249F8105" w14:textId="77777777" w:rsidR="008F50C3" w:rsidRPr="007337C6" w:rsidRDefault="008F50C3"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4,673</w:t>
            </w:r>
          </w:p>
        </w:tc>
        <w:tc>
          <w:tcPr>
            <w:tcW w:w="1055" w:type="dxa"/>
            <w:tcBorders>
              <w:top w:val="nil"/>
              <w:left w:val="nil"/>
              <w:bottom w:val="single" w:sz="8" w:space="0" w:color="0070C0"/>
              <w:right w:val="nil"/>
            </w:tcBorders>
            <w:shd w:val="clear" w:color="auto" w:fill="auto"/>
            <w:noWrap/>
            <w:vAlign w:val="bottom"/>
            <w:hideMark/>
          </w:tcPr>
          <w:p w14:paraId="16256AF8" w14:textId="77777777" w:rsidR="008F50C3" w:rsidRPr="007337C6" w:rsidRDefault="008F50C3"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0</w:t>
            </w:r>
          </w:p>
        </w:tc>
        <w:tc>
          <w:tcPr>
            <w:tcW w:w="909" w:type="dxa"/>
            <w:tcBorders>
              <w:top w:val="nil"/>
              <w:left w:val="nil"/>
              <w:bottom w:val="single" w:sz="8" w:space="0" w:color="0070C0"/>
              <w:right w:val="nil"/>
            </w:tcBorders>
            <w:shd w:val="clear" w:color="auto" w:fill="auto"/>
            <w:noWrap/>
            <w:vAlign w:val="bottom"/>
            <w:hideMark/>
          </w:tcPr>
          <w:p w14:paraId="348570E1" w14:textId="77777777" w:rsidR="008F50C3" w:rsidRPr="007337C6" w:rsidRDefault="008F50C3"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FF0000"/>
                <w:sz w:val="16"/>
                <w:szCs w:val="16"/>
                <w:lang w:eastAsia="en-GB"/>
              </w:rPr>
              <w:t>(6)</w:t>
            </w:r>
          </w:p>
        </w:tc>
        <w:tc>
          <w:tcPr>
            <w:tcW w:w="796" w:type="dxa"/>
            <w:tcBorders>
              <w:top w:val="nil"/>
              <w:left w:val="nil"/>
              <w:bottom w:val="single" w:sz="8" w:space="0" w:color="0070C0"/>
              <w:right w:val="nil"/>
            </w:tcBorders>
            <w:shd w:val="clear" w:color="auto" w:fill="auto"/>
            <w:noWrap/>
            <w:vAlign w:val="bottom"/>
            <w:hideMark/>
          </w:tcPr>
          <w:p w14:paraId="7E4837D5" w14:textId="15709390" w:rsidR="008F50C3" w:rsidRPr="007337C6" w:rsidRDefault="008F50C3" w:rsidP="001E2B2B">
            <w:pPr>
              <w:spacing w:after="0" w:line="240" w:lineRule="auto"/>
              <w:jc w:val="right"/>
              <w:rPr>
                <w:rFonts w:ascii="Trebuchet MS" w:eastAsia="Times New Roman" w:hAnsi="Trebuchet MS" w:cs="Times New Roman"/>
                <w:color w:val="FF0000"/>
                <w:sz w:val="16"/>
                <w:szCs w:val="16"/>
                <w:lang w:eastAsia="en-GB"/>
              </w:rPr>
            </w:pPr>
            <w:r w:rsidRPr="007337C6">
              <w:rPr>
                <w:rFonts w:ascii="Trebuchet MS" w:eastAsia="Times New Roman" w:hAnsi="Trebuchet MS" w:cs="Times New Roman"/>
                <w:color w:val="FF0000"/>
                <w:sz w:val="16"/>
                <w:szCs w:val="16"/>
                <w:lang w:eastAsia="en-GB"/>
              </w:rPr>
              <w:t>(1,186)</w:t>
            </w:r>
          </w:p>
        </w:tc>
        <w:tc>
          <w:tcPr>
            <w:tcW w:w="795" w:type="dxa"/>
            <w:tcBorders>
              <w:top w:val="nil"/>
              <w:left w:val="single" w:sz="8" w:space="0" w:color="0070C0"/>
              <w:bottom w:val="single" w:sz="8" w:space="0" w:color="0070C0"/>
              <w:right w:val="single" w:sz="8" w:space="0" w:color="0070C0"/>
            </w:tcBorders>
            <w:shd w:val="clear" w:color="auto" w:fill="auto"/>
            <w:noWrap/>
            <w:vAlign w:val="bottom"/>
            <w:hideMark/>
          </w:tcPr>
          <w:p w14:paraId="3392ED40" w14:textId="2BF0CE9C" w:rsidR="008F50C3" w:rsidRPr="007337C6" w:rsidRDefault="008F50C3"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16,981</w:t>
            </w:r>
          </w:p>
        </w:tc>
        <w:tc>
          <w:tcPr>
            <w:tcW w:w="795" w:type="dxa"/>
            <w:tcBorders>
              <w:top w:val="nil"/>
              <w:left w:val="nil"/>
              <w:bottom w:val="single" w:sz="8" w:space="0" w:color="0070C0"/>
              <w:right w:val="nil"/>
            </w:tcBorders>
            <w:shd w:val="clear" w:color="auto" w:fill="auto"/>
            <w:noWrap/>
            <w:vAlign w:val="bottom"/>
            <w:hideMark/>
          </w:tcPr>
          <w:p w14:paraId="26A4884B" w14:textId="77777777" w:rsidR="008F50C3" w:rsidRPr="007337C6" w:rsidRDefault="008F50C3"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4,673</w:t>
            </w:r>
          </w:p>
        </w:tc>
        <w:tc>
          <w:tcPr>
            <w:tcW w:w="1055" w:type="dxa"/>
            <w:tcBorders>
              <w:top w:val="nil"/>
              <w:left w:val="nil"/>
              <w:bottom w:val="single" w:sz="8" w:space="0" w:color="0070C0"/>
              <w:right w:val="nil"/>
            </w:tcBorders>
            <w:shd w:val="clear" w:color="auto" w:fill="auto"/>
            <w:noWrap/>
            <w:vAlign w:val="bottom"/>
            <w:hideMark/>
          </w:tcPr>
          <w:p w14:paraId="110D6922" w14:textId="77777777" w:rsidR="008F50C3" w:rsidRPr="007337C6" w:rsidRDefault="008F50C3"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0</w:t>
            </w:r>
          </w:p>
        </w:tc>
        <w:tc>
          <w:tcPr>
            <w:tcW w:w="974" w:type="dxa"/>
            <w:tcBorders>
              <w:top w:val="nil"/>
              <w:left w:val="nil"/>
              <w:bottom w:val="single" w:sz="8" w:space="0" w:color="0070C0"/>
              <w:right w:val="nil"/>
            </w:tcBorders>
            <w:shd w:val="clear" w:color="auto" w:fill="auto"/>
            <w:noWrap/>
            <w:vAlign w:val="bottom"/>
            <w:hideMark/>
          </w:tcPr>
          <w:p w14:paraId="4A87068E" w14:textId="77777777" w:rsidR="008F50C3" w:rsidRPr="007337C6" w:rsidRDefault="008F50C3"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FF0000"/>
                <w:sz w:val="16"/>
                <w:szCs w:val="16"/>
                <w:lang w:eastAsia="en-GB"/>
              </w:rPr>
              <w:t>(6)</w:t>
            </w:r>
          </w:p>
        </w:tc>
        <w:tc>
          <w:tcPr>
            <w:tcW w:w="730" w:type="dxa"/>
            <w:tcBorders>
              <w:top w:val="nil"/>
              <w:left w:val="nil"/>
              <w:bottom w:val="single" w:sz="8" w:space="0" w:color="0070C0"/>
              <w:right w:val="nil"/>
            </w:tcBorders>
            <w:shd w:val="clear" w:color="auto" w:fill="auto"/>
            <w:noWrap/>
            <w:vAlign w:val="bottom"/>
            <w:hideMark/>
          </w:tcPr>
          <w:p w14:paraId="3913612F" w14:textId="77777777" w:rsidR="008F50C3" w:rsidRPr="007337C6" w:rsidRDefault="008F50C3"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0</w:t>
            </w:r>
          </w:p>
        </w:tc>
        <w:tc>
          <w:tcPr>
            <w:tcW w:w="795" w:type="dxa"/>
            <w:tcBorders>
              <w:top w:val="nil"/>
              <w:left w:val="single" w:sz="8" w:space="0" w:color="0070C0"/>
              <w:bottom w:val="single" w:sz="8" w:space="0" w:color="0070C0"/>
              <w:right w:val="single" w:sz="8" w:space="0" w:color="0070C0"/>
            </w:tcBorders>
            <w:shd w:val="clear" w:color="auto" w:fill="auto"/>
            <w:noWrap/>
            <w:vAlign w:val="bottom"/>
            <w:hideMark/>
          </w:tcPr>
          <w:p w14:paraId="37841B9F" w14:textId="77777777" w:rsidR="008F50C3" w:rsidRPr="007337C6" w:rsidRDefault="008F50C3"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4,667</w:t>
            </w:r>
          </w:p>
        </w:tc>
      </w:tr>
      <w:tr w:rsidR="008F50C3" w:rsidRPr="007337C6" w14:paraId="71379786" w14:textId="77777777" w:rsidTr="001E2B2B">
        <w:trPr>
          <w:trHeight w:val="261"/>
        </w:trPr>
        <w:tc>
          <w:tcPr>
            <w:tcW w:w="1627" w:type="dxa"/>
            <w:tcBorders>
              <w:top w:val="nil"/>
              <w:left w:val="single" w:sz="8" w:space="0" w:color="0070C0"/>
              <w:bottom w:val="single" w:sz="8" w:space="0" w:color="0070C0"/>
              <w:right w:val="single" w:sz="8" w:space="0" w:color="0070C0"/>
            </w:tcBorders>
            <w:shd w:val="clear" w:color="auto" w:fill="auto"/>
            <w:noWrap/>
            <w:vAlign w:val="center"/>
            <w:hideMark/>
          </w:tcPr>
          <w:p w14:paraId="2A1830C9" w14:textId="77777777" w:rsidR="008F50C3" w:rsidRPr="007337C6" w:rsidRDefault="008F50C3" w:rsidP="008F50C3">
            <w:pPr>
              <w:spacing w:after="0" w:line="240" w:lineRule="auto"/>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Total</w:t>
            </w:r>
          </w:p>
        </w:tc>
        <w:tc>
          <w:tcPr>
            <w:tcW w:w="728" w:type="dxa"/>
            <w:tcBorders>
              <w:top w:val="nil"/>
              <w:left w:val="nil"/>
              <w:bottom w:val="single" w:sz="8" w:space="0" w:color="0070C0"/>
              <w:right w:val="nil"/>
            </w:tcBorders>
            <w:shd w:val="clear" w:color="auto" w:fill="auto"/>
            <w:noWrap/>
            <w:vAlign w:val="bottom"/>
            <w:hideMark/>
          </w:tcPr>
          <w:p w14:paraId="7D146422" w14:textId="77777777" w:rsidR="008F50C3" w:rsidRPr="007337C6" w:rsidRDefault="008F50C3"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5,394</w:t>
            </w:r>
          </w:p>
        </w:tc>
        <w:tc>
          <w:tcPr>
            <w:tcW w:w="1055" w:type="dxa"/>
            <w:tcBorders>
              <w:top w:val="nil"/>
              <w:left w:val="nil"/>
              <w:bottom w:val="single" w:sz="8" w:space="0" w:color="0070C0"/>
              <w:right w:val="nil"/>
            </w:tcBorders>
            <w:shd w:val="clear" w:color="auto" w:fill="auto"/>
            <w:noWrap/>
            <w:vAlign w:val="bottom"/>
            <w:hideMark/>
          </w:tcPr>
          <w:p w14:paraId="125279BF" w14:textId="77777777" w:rsidR="008F50C3" w:rsidRPr="007337C6" w:rsidRDefault="008F50C3"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0</w:t>
            </w:r>
          </w:p>
        </w:tc>
        <w:tc>
          <w:tcPr>
            <w:tcW w:w="909" w:type="dxa"/>
            <w:tcBorders>
              <w:top w:val="nil"/>
              <w:left w:val="nil"/>
              <w:bottom w:val="single" w:sz="8" w:space="0" w:color="0070C0"/>
              <w:right w:val="nil"/>
            </w:tcBorders>
            <w:shd w:val="clear" w:color="auto" w:fill="auto"/>
            <w:noWrap/>
            <w:vAlign w:val="bottom"/>
            <w:hideMark/>
          </w:tcPr>
          <w:p w14:paraId="01153E93" w14:textId="77777777" w:rsidR="008F50C3" w:rsidRPr="007337C6" w:rsidRDefault="008F50C3"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FF0000"/>
                <w:sz w:val="16"/>
                <w:szCs w:val="16"/>
                <w:lang w:eastAsia="en-GB"/>
              </w:rPr>
              <w:t>(6)</w:t>
            </w:r>
          </w:p>
        </w:tc>
        <w:tc>
          <w:tcPr>
            <w:tcW w:w="796" w:type="dxa"/>
            <w:tcBorders>
              <w:top w:val="nil"/>
              <w:left w:val="nil"/>
              <w:bottom w:val="single" w:sz="8" w:space="0" w:color="0070C0"/>
              <w:right w:val="nil"/>
            </w:tcBorders>
            <w:shd w:val="clear" w:color="auto" w:fill="auto"/>
            <w:noWrap/>
            <w:vAlign w:val="bottom"/>
            <w:hideMark/>
          </w:tcPr>
          <w:p w14:paraId="270E4AFF" w14:textId="4DE5B31D" w:rsidR="008F50C3" w:rsidRPr="007337C6" w:rsidRDefault="008F50C3" w:rsidP="001E2B2B">
            <w:pPr>
              <w:spacing w:after="0" w:line="240" w:lineRule="auto"/>
              <w:jc w:val="right"/>
              <w:rPr>
                <w:rFonts w:ascii="Trebuchet MS" w:eastAsia="Times New Roman" w:hAnsi="Trebuchet MS" w:cs="Times New Roman"/>
                <w:color w:val="FF0000"/>
                <w:sz w:val="16"/>
                <w:szCs w:val="16"/>
                <w:lang w:eastAsia="en-GB"/>
              </w:rPr>
            </w:pPr>
            <w:r w:rsidRPr="007337C6">
              <w:rPr>
                <w:rFonts w:ascii="Trebuchet MS" w:eastAsia="Times New Roman" w:hAnsi="Trebuchet MS" w:cs="Times New Roman"/>
                <w:color w:val="FF0000"/>
                <w:sz w:val="16"/>
                <w:szCs w:val="16"/>
                <w:lang w:eastAsia="en-GB"/>
              </w:rPr>
              <w:t>(970)</w:t>
            </w:r>
          </w:p>
        </w:tc>
        <w:tc>
          <w:tcPr>
            <w:tcW w:w="795" w:type="dxa"/>
            <w:tcBorders>
              <w:top w:val="nil"/>
              <w:left w:val="single" w:sz="8" w:space="0" w:color="0070C0"/>
              <w:bottom w:val="single" w:sz="8" w:space="0" w:color="0070C0"/>
              <w:right w:val="single" w:sz="8" w:space="0" w:color="0070C0"/>
            </w:tcBorders>
            <w:shd w:val="clear" w:color="auto" w:fill="auto"/>
            <w:noWrap/>
            <w:vAlign w:val="bottom"/>
            <w:hideMark/>
          </w:tcPr>
          <w:p w14:paraId="6A5FD7F3" w14:textId="47BFFB23" w:rsidR="008F50C3" w:rsidRPr="007337C6" w:rsidRDefault="008F50C3"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17,918</w:t>
            </w:r>
          </w:p>
        </w:tc>
        <w:tc>
          <w:tcPr>
            <w:tcW w:w="795" w:type="dxa"/>
            <w:tcBorders>
              <w:top w:val="nil"/>
              <w:left w:val="nil"/>
              <w:bottom w:val="single" w:sz="8" w:space="0" w:color="0070C0"/>
              <w:right w:val="nil"/>
            </w:tcBorders>
            <w:shd w:val="clear" w:color="auto" w:fill="auto"/>
            <w:noWrap/>
            <w:vAlign w:val="bottom"/>
            <w:hideMark/>
          </w:tcPr>
          <w:p w14:paraId="79EC7D46" w14:textId="77777777" w:rsidR="008F50C3" w:rsidRPr="007337C6" w:rsidRDefault="008F50C3"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5,394</w:t>
            </w:r>
          </w:p>
        </w:tc>
        <w:tc>
          <w:tcPr>
            <w:tcW w:w="1055" w:type="dxa"/>
            <w:tcBorders>
              <w:top w:val="nil"/>
              <w:left w:val="nil"/>
              <w:bottom w:val="single" w:sz="8" w:space="0" w:color="0070C0"/>
              <w:right w:val="nil"/>
            </w:tcBorders>
            <w:shd w:val="clear" w:color="auto" w:fill="auto"/>
            <w:noWrap/>
            <w:vAlign w:val="bottom"/>
            <w:hideMark/>
          </w:tcPr>
          <w:p w14:paraId="008ECF7C" w14:textId="77777777" w:rsidR="008F50C3" w:rsidRPr="007337C6" w:rsidRDefault="008F50C3"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0</w:t>
            </w:r>
          </w:p>
        </w:tc>
        <w:tc>
          <w:tcPr>
            <w:tcW w:w="974" w:type="dxa"/>
            <w:tcBorders>
              <w:top w:val="nil"/>
              <w:left w:val="nil"/>
              <w:bottom w:val="single" w:sz="8" w:space="0" w:color="0070C0"/>
              <w:right w:val="nil"/>
            </w:tcBorders>
            <w:shd w:val="clear" w:color="auto" w:fill="auto"/>
            <w:noWrap/>
            <w:vAlign w:val="bottom"/>
            <w:hideMark/>
          </w:tcPr>
          <w:p w14:paraId="01BA6EA4" w14:textId="77777777" w:rsidR="008F50C3" w:rsidRPr="007337C6" w:rsidRDefault="008F50C3"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FF0000"/>
                <w:sz w:val="16"/>
                <w:szCs w:val="16"/>
                <w:lang w:eastAsia="en-GB"/>
              </w:rPr>
              <w:t>(6)</w:t>
            </w:r>
          </w:p>
        </w:tc>
        <w:tc>
          <w:tcPr>
            <w:tcW w:w="730" w:type="dxa"/>
            <w:tcBorders>
              <w:top w:val="nil"/>
              <w:left w:val="nil"/>
              <w:bottom w:val="single" w:sz="8" w:space="0" w:color="0070C0"/>
              <w:right w:val="nil"/>
            </w:tcBorders>
            <w:shd w:val="clear" w:color="auto" w:fill="auto"/>
            <w:noWrap/>
            <w:vAlign w:val="bottom"/>
            <w:hideMark/>
          </w:tcPr>
          <w:p w14:paraId="68332B98" w14:textId="77777777" w:rsidR="008F50C3" w:rsidRPr="007337C6" w:rsidRDefault="008F50C3"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0</w:t>
            </w:r>
          </w:p>
        </w:tc>
        <w:tc>
          <w:tcPr>
            <w:tcW w:w="795" w:type="dxa"/>
            <w:tcBorders>
              <w:top w:val="nil"/>
              <w:left w:val="single" w:sz="8" w:space="0" w:color="0070C0"/>
              <w:bottom w:val="single" w:sz="8" w:space="0" w:color="0070C0"/>
              <w:right w:val="single" w:sz="8" w:space="0" w:color="0070C0"/>
            </w:tcBorders>
            <w:shd w:val="clear" w:color="auto" w:fill="auto"/>
            <w:noWrap/>
            <w:vAlign w:val="bottom"/>
            <w:hideMark/>
          </w:tcPr>
          <w:p w14:paraId="0E1C5D65" w14:textId="77777777" w:rsidR="008F50C3" w:rsidRPr="007337C6" w:rsidRDefault="008F50C3"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5,388</w:t>
            </w:r>
          </w:p>
        </w:tc>
      </w:tr>
      <w:tr w:rsidR="0061459C" w:rsidRPr="007337C6" w14:paraId="54EFB40B" w14:textId="77777777" w:rsidTr="008F50C3">
        <w:trPr>
          <w:trHeight w:val="136"/>
        </w:trPr>
        <w:tc>
          <w:tcPr>
            <w:tcW w:w="1627" w:type="dxa"/>
            <w:tcBorders>
              <w:top w:val="nil"/>
              <w:left w:val="nil"/>
              <w:bottom w:val="nil"/>
              <w:right w:val="nil"/>
            </w:tcBorders>
            <w:shd w:val="clear" w:color="auto" w:fill="auto"/>
            <w:noWrap/>
            <w:vAlign w:val="center"/>
            <w:hideMark/>
          </w:tcPr>
          <w:p w14:paraId="7CBCD37B" w14:textId="77777777" w:rsidR="0061459C" w:rsidRPr="007337C6" w:rsidRDefault="0061459C" w:rsidP="00165C01">
            <w:pPr>
              <w:spacing w:after="0" w:line="240" w:lineRule="auto"/>
              <w:jc w:val="right"/>
              <w:rPr>
                <w:rFonts w:ascii="Trebuchet MS" w:eastAsia="Times New Roman" w:hAnsi="Trebuchet MS" w:cs="Times New Roman"/>
                <w:color w:val="000000"/>
                <w:sz w:val="16"/>
                <w:szCs w:val="16"/>
                <w:lang w:eastAsia="en-GB"/>
              </w:rPr>
            </w:pPr>
          </w:p>
        </w:tc>
        <w:tc>
          <w:tcPr>
            <w:tcW w:w="728" w:type="dxa"/>
            <w:tcBorders>
              <w:top w:val="nil"/>
              <w:left w:val="nil"/>
              <w:bottom w:val="nil"/>
              <w:right w:val="nil"/>
            </w:tcBorders>
            <w:shd w:val="clear" w:color="auto" w:fill="auto"/>
            <w:noWrap/>
            <w:vAlign w:val="center"/>
            <w:hideMark/>
          </w:tcPr>
          <w:p w14:paraId="5521B296" w14:textId="77777777" w:rsidR="0061459C" w:rsidRDefault="0061459C" w:rsidP="00165C01">
            <w:pPr>
              <w:spacing w:after="0" w:line="240" w:lineRule="auto"/>
              <w:rPr>
                <w:rFonts w:ascii="Trebuchet MS" w:eastAsia="Times New Roman" w:hAnsi="Trebuchet MS" w:cs="Times New Roman"/>
                <w:sz w:val="16"/>
                <w:szCs w:val="16"/>
                <w:lang w:eastAsia="en-GB"/>
              </w:rPr>
            </w:pPr>
          </w:p>
          <w:p w14:paraId="730A13C9" w14:textId="38880482" w:rsidR="00AE4BF9" w:rsidRPr="007337C6" w:rsidRDefault="00AE4BF9" w:rsidP="00165C01">
            <w:pPr>
              <w:spacing w:after="0" w:line="240" w:lineRule="auto"/>
              <w:rPr>
                <w:rFonts w:ascii="Trebuchet MS" w:eastAsia="Times New Roman" w:hAnsi="Trebuchet MS" w:cs="Times New Roman"/>
                <w:sz w:val="16"/>
                <w:szCs w:val="16"/>
                <w:lang w:eastAsia="en-GB"/>
              </w:rPr>
            </w:pPr>
          </w:p>
        </w:tc>
        <w:tc>
          <w:tcPr>
            <w:tcW w:w="1055" w:type="dxa"/>
            <w:tcBorders>
              <w:top w:val="nil"/>
              <w:left w:val="nil"/>
              <w:bottom w:val="nil"/>
              <w:right w:val="nil"/>
            </w:tcBorders>
            <w:shd w:val="clear" w:color="auto" w:fill="auto"/>
            <w:noWrap/>
            <w:vAlign w:val="center"/>
            <w:hideMark/>
          </w:tcPr>
          <w:p w14:paraId="64A5FAD5" w14:textId="77777777" w:rsidR="0061459C" w:rsidRPr="007337C6" w:rsidRDefault="0061459C" w:rsidP="00165C01">
            <w:pPr>
              <w:spacing w:after="0" w:line="240" w:lineRule="auto"/>
              <w:rPr>
                <w:rFonts w:ascii="Trebuchet MS" w:eastAsia="Times New Roman" w:hAnsi="Trebuchet MS" w:cs="Times New Roman"/>
                <w:sz w:val="16"/>
                <w:szCs w:val="16"/>
                <w:lang w:eastAsia="en-GB"/>
              </w:rPr>
            </w:pPr>
          </w:p>
        </w:tc>
        <w:tc>
          <w:tcPr>
            <w:tcW w:w="909" w:type="dxa"/>
            <w:tcBorders>
              <w:top w:val="nil"/>
              <w:left w:val="nil"/>
              <w:bottom w:val="nil"/>
              <w:right w:val="nil"/>
            </w:tcBorders>
            <w:shd w:val="clear" w:color="auto" w:fill="auto"/>
            <w:noWrap/>
            <w:vAlign w:val="center"/>
            <w:hideMark/>
          </w:tcPr>
          <w:p w14:paraId="4E949E1C" w14:textId="77777777" w:rsidR="0061459C" w:rsidRPr="007337C6" w:rsidRDefault="0061459C" w:rsidP="00165C01">
            <w:pPr>
              <w:spacing w:after="0" w:line="240" w:lineRule="auto"/>
              <w:rPr>
                <w:rFonts w:ascii="Trebuchet MS" w:eastAsia="Times New Roman" w:hAnsi="Trebuchet MS" w:cs="Times New Roman"/>
                <w:sz w:val="16"/>
                <w:szCs w:val="16"/>
                <w:lang w:eastAsia="en-GB"/>
              </w:rPr>
            </w:pPr>
          </w:p>
        </w:tc>
        <w:tc>
          <w:tcPr>
            <w:tcW w:w="796" w:type="dxa"/>
            <w:tcBorders>
              <w:top w:val="nil"/>
              <w:left w:val="nil"/>
              <w:bottom w:val="nil"/>
              <w:right w:val="nil"/>
            </w:tcBorders>
            <w:shd w:val="clear" w:color="auto" w:fill="auto"/>
            <w:noWrap/>
            <w:vAlign w:val="center"/>
            <w:hideMark/>
          </w:tcPr>
          <w:p w14:paraId="3682851E" w14:textId="77777777" w:rsidR="0061459C" w:rsidRPr="007337C6" w:rsidRDefault="0061459C" w:rsidP="00165C01">
            <w:pPr>
              <w:spacing w:after="0" w:line="240" w:lineRule="auto"/>
              <w:rPr>
                <w:rFonts w:ascii="Trebuchet MS" w:eastAsia="Times New Roman" w:hAnsi="Trebuchet MS" w:cs="Times New Roman"/>
                <w:sz w:val="16"/>
                <w:szCs w:val="16"/>
                <w:lang w:eastAsia="en-GB"/>
              </w:rPr>
            </w:pPr>
          </w:p>
        </w:tc>
        <w:tc>
          <w:tcPr>
            <w:tcW w:w="795" w:type="dxa"/>
            <w:tcBorders>
              <w:top w:val="nil"/>
              <w:left w:val="nil"/>
              <w:bottom w:val="nil"/>
              <w:right w:val="nil"/>
            </w:tcBorders>
            <w:shd w:val="clear" w:color="auto" w:fill="auto"/>
            <w:noWrap/>
            <w:vAlign w:val="center"/>
            <w:hideMark/>
          </w:tcPr>
          <w:p w14:paraId="4839ADC9" w14:textId="77777777" w:rsidR="0061459C" w:rsidRPr="007337C6" w:rsidRDefault="0061459C" w:rsidP="00165C01">
            <w:pPr>
              <w:spacing w:after="0" w:line="240" w:lineRule="auto"/>
              <w:rPr>
                <w:rFonts w:ascii="Trebuchet MS" w:eastAsia="Times New Roman" w:hAnsi="Trebuchet MS" w:cs="Times New Roman"/>
                <w:sz w:val="16"/>
                <w:szCs w:val="16"/>
                <w:lang w:eastAsia="en-GB"/>
              </w:rPr>
            </w:pPr>
          </w:p>
        </w:tc>
        <w:tc>
          <w:tcPr>
            <w:tcW w:w="795" w:type="dxa"/>
            <w:tcBorders>
              <w:top w:val="nil"/>
              <w:left w:val="nil"/>
              <w:bottom w:val="nil"/>
              <w:right w:val="nil"/>
            </w:tcBorders>
            <w:shd w:val="clear" w:color="auto" w:fill="auto"/>
            <w:noWrap/>
            <w:vAlign w:val="center"/>
            <w:hideMark/>
          </w:tcPr>
          <w:p w14:paraId="67CCC259" w14:textId="77777777" w:rsidR="0061459C" w:rsidRPr="007337C6" w:rsidRDefault="0061459C" w:rsidP="00165C01">
            <w:pPr>
              <w:spacing w:after="0" w:line="240" w:lineRule="auto"/>
              <w:rPr>
                <w:rFonts w:ascii="Trebuchet MS" w:eastAsia="Times New Roman" w:hAnsi="Trebuchet MS" w:cs="Times New Roman"/>
                <w:sz w:val="16"/>
                <w:szCs w:val="16"/>
                <w:lang w:eastAsia="en-GB"/>
              </w:rPr>
            </w:pPr>
          </w:p>
        </w:tc>
        <w:tc>
          <w:tcPr>
            <w:tcW w:w="1055" w:type="dxa"/>
            <w:tcBorders>
              <w:top w:val="nil"/>
              <w:left w:val="nil"/>
              <w:bottom w:val="nil"/>
              <w:right w:val="nil"/>
            </w:tcBorders>
            <w:shd w:val="clear" w:color="auto" w:fill="auto"/>
            <w:noWrap/>
            <w:vAlign w:val="center"/>
            <w:hideMark/>
          </w:tcPr>
          <w:p w14:paraId="3548B15D" w14:textId="77777777" w:rsidR="0061459C" w:rsidRPr="007337C6" w:rsidRDefault="0061459C" w:rsidP="00165C01">
            <w:pPr>
              <w:spacing w:after="0" w:line="240" w:lineRule="auto"/>
              <w:rPr>
                <w:rFonts w:ascii="Trebuchet MS" w:eastAsia="Times New Roman" w:hAnsi="Trebuchet MS" w:cs="Times New Roman"/>
                <w:sz w:val="16"/>
                <w:szCs w:val="16"/>
                <w:lang w:eastAsia="en-GB"/>
              </w:rPr>
            </w:pPr>
          </w:p>
        </w:tc>
        <w:tc>
          <w:tcPr>
            <w:tcW w:w="974" w:type="dxa"/>
            <w:tcBorders>
              <w:top w:val="nil"/>
              <w:left w:val="nil"/>
              <w:bottom w:val="nil"/>
              <w:right w:val="nil"/>
            </w:tcBorders>
            <w:shd w:val="clear" w:color="auto" w:fill="auto"/>
            <w:noWrap/>
            <w:vAlign w:val="center"/>
            <w:hideMark/>
          </w:tcPr>
          <w:p w14:paraId="00241374" w14:textId="77777777" w:rsidR="0061459C" w:rsidRDefault="0061459C" w:rsidP="00165C01">
            <w:pPr>
              <w:spacing w:after="0" w:line="240" w:lineRule="auto"/>
              <w:rPr>
                <w:rFonts w:ascii="Trebuchet MS" w:eastAsia="Times New Roman" w:hAnsi="Trebuchet MS" w:cs="Times New Roman"/>
                <w:sz w:val="16"/>
                <w:szCs w:val="16"/>
                <w:lang w:eastAsia="en-GB"/>
              </w:rPr>
            </w:pPr>
          </w:p>
          <w:p w14:paraId="40C91F3E" w14:textId="79926470" w:rsidR="00752805" w:rsidRPr="007337C6" w:rsidRDefault="00752805" w:rsidP="00165C01">
            <w:pPr>
              <w:spacing w:after="0" w:line="240" w:lineRule="auto"/>
              <w:rPr>
                <w:rFonts w:ascii="Trebuchet MS" w:eastAsia="Times New Roman" w:hAnsi="Trebuchet MS" w:cs="Times New Roman"/>
                <w:sz w:val="16"/>
                <w:szCs w:val="16"/>
                <w:lang w:eastAsia="en-GB"/>
              </w:rPr>
            </w:pPr>
          </w:p>
        </w:tc>
        <w:tc>
          <w:tcPr>
            <w:tcW w:w="730" w:type="dxa"/>
            <w:tcBorders>
              <w:top w:val="nil"/>
              <w:left w:val="nil"/>
              <w:bottom w:val="nil"/>
              <w:right w:val="nil"/>
            </w:tcBorders>
            <w:shd w:val="clear" w:color="auto" w:fill="auto"/>
            <w:noWrap/>
            <w:vAlign w:val="center"/>
            <w:hideMark/>
          </w:tcPr>
          <w:p w14:paraId="7EC05AEC" w14:textId="77777777" w:rsidR="0061459C" w:rsidRPr="007337C6" w:rsidRDefault="0061459C" w:rsidP="00165C01">
            <w:pPr>
              <w:spacing w:after="0" w:line="240" w:lineRule="auto"/>
              <w:rPr>
                <w:rFonts w:ascii="Trebuchet MS" w:eastAsia="Times New Roman" w:hAnsi="Trebuchet MS" w:cs="Times New Roman"/>
                <w:sz w:val="16"/>
                <w:szCs w:val="16"/>
                <w:lang w:eastAsia="en-GB"/>
              </w:rPr>
            </w:pPr>
          </w:p>
        </w:tc>
        <w:tc>
          <w:tcPr>
            <w:tcW w:w="795" w:type="dxa"/>
            <w:tcBorders>
              <w:top w:val="nil"/>
              <w:left w:val="nil"/>
              <w:bottom w:val="nil"/>
              <w:right w:val="nil"/>
            </w:tcBorders>
            <w:shd w:val="clear" w:color="auto" w:fill="auto"/>
            <w:noWrap/>
            <w:vAlign w:val="center"/>
            <w:hideMark/>
          </w:tcPr>
          <w:p w14:paraId="346D01ED" w14:textId="77777777" w:rsidR="0061459C" w:rsidRPr="007337C6" w:rsidRDefault="0061459C" w:rsidP="00165C01">
            <w:pPr>
              <w:spacing w:after="0" w:line="240" w:lineRule="auto"/>
              <w:rPr>
                <w:rFonts w:ascii="Trebuchet MS" w:eastAsia="Times New Roman" w:hAnsi="Trebuchet MS" w:cs="Times New Roman"/>
                <w:sz w:val="16"/>
                <w:szCs w:val="16"/>
                <w:lang w:eastAsia="en-GB"/>
              </w:rPr>
            </w:pPr>
          </w:p>
        </w:tc>
      </w:tr>
      <w:tr w:rsidR="0061459C" w:rsidRPr="007337C6" w14:paraId="2FAC7D79" w14:textId="77777777" w:rsidTr="008F50C3">
        <w:trPr>
          <w:trHeight w:val="136"/>
        </w:trPr>
        <w:tc>
          <w:tcPr>
            <w:tcW w:w="1627" w:type="dxa"/>
            <w:tcBorders>
              <w:top w:val="nil"/>
              <w:left w:val="nil"/>
              <w:bottom w:val="nil"/>
              <w:right w:val="nil"/>
            </w:tcBorders>
            <w:shd w:val="clear" w:color="auto" w:fill="auto"/>
            <w:noWrap/>
            <w:vAlign w:val="bottom"/>
            <w:hideMark/>
          </w:tcPr>
          <w:p w14:paraId="0ADAE6C3" w14:textId="77777777" w:rsidR="0061459C" w:rsidRPr="007337C6" w:rsidRDefault="0061459C" w:rsidP="00165C01">
            <w:pPr>
              <w:spacing w:after="0" w:line="240" w:lineRule="auto"/>
              <w:rPr>
                <w:rFonts w:ascii="Trebuchet MS" w:eastAsia="Times New Roman" w:hAnsi="Trebuchet MS" w:cs="Times New Roman"/>
                <w:sz w:val="16"/>
                <w:szCs w:val="16"/>
                <w:lang w:eastAsia="en-GB"/>
              </w:rPr>
            </w:pPr>
          </w:p>
        </w:tc>
        <w:tc>
          <w:tcPr>
            <w:tcW w:w="728" w:type="dxa"/>
            <w:tcBorders>
              <w:top w:val="nil"/>
              <w:left w:val="nil"/>
              <w:bottom w:val="nil"/>
              <w:right w:val="nil"/>
            </w:tcBorders>
            <w:shd w:val="clear" w:color="auto" w:fill="auto"/>
            <w:noWrap/>
            <w:vAlign w:val="bottom"/>
            <w:hideMark/>
          </w:tcPr>
          <w:p w14:paraId="0AD37560" w14:textId="77777777" w:rsidR="0061459C" w:rsidRPr="007337C6" w:rsidRDefault="0061459C" w:rsidP="00165C01">
            <w:pPr>
              <w:spacing w:after="0" w:line="240" w:lineRule="auto"/>
              <w:rPr>
                <w:rFonts w:ascii="Trebuchet MS" w:eastAsia="Times New Roman" w:hAnsi="Trebuchet MS" w:cs="Times New Roman"/>
                <w:sz w:val="16"/>
                <w:szCs w:val="16"/>
                <w:lang w:eastAsia="en-GB"/>
              </w:rPr>
            </w:pPr>
          </w:p>
        </w:tc>
        <w:tc>
          <w:tcPr>
            <w:tcW w:w="1055" w:type="dxa"/>
            <w:tcBorders>
              <w:top w:val="nil"/>
              <w:left w:val="nil"/>
              <w:bottom w:val="nil"/>
              <w:right w:val="nil"/>
            </w:tcBorders>
            <w:shd w:val="clear" w:color="auto" w:fill="auto"/>
            <w:noWrap/>
            <w:vAlign w:val="bottom"/>
            <w:hideMark/>
          </w:tcPr>
          <w:p w14:paraId="6D4A8FA1" w14:textId="77777777" w:rsidR="0061459C" w:rsidRPr="007337C6" w:rsidRDefault="0061459C" w:rsidP="00165C01">
            <w:pPr>
              <w:spacing w:after="0" w:line="240" w:lineRule="auto"/>
              <w:rPr>
                <w:rFonts w:ascii="Trebuchet MS" w:eastAsia="Times New Roman" w:hAnsi="Trebuchet MS" w:cs="Times New Roman"/>
                <w:sz w:val="16"/>
                <w:szCs w:val="16"/>
                <w:lang w:eastAsia="en-GB"/>
              </w:rPr>
            </w:pPr>
          </w:p>
        </w:tc>
        <w:tc>
          <w:tcPr>
            <w:tcW w:w="909" w:type="dxa"/>
            <w:tcBorders>
              <w:top w:val="nil"/>
              <w:left w:val="nil"/>
              <w:bottom w:val="nil"/>
              <w:right w:val="nil"/>
            </w:tcBorders>
            <w:shd w:val="clear" w:color="auto" w:fill="auto"/>
            <w:noWrap/>
            <w:vAlign w:val="bottom"/>
            <w:hideMark/>
          </w:tcPr>
          <w:p w14:paraId="607516B0" w14:textId="77777777" w:rsidR="0061459C" w:rsidRPr="007337C6" w:rsidRDefault="0061459C" w:rsidP="00165C01">
            <w:pPr>
              <w:spacing w:after="0" w:line="240" w:lineRule="auto"/>
              <w:rPr>
                <w:rFonts w:ascii="Trebuchet MS" w:eastAsia="Times New Roman" w:hAnsi="Trebuchet MS" w:cs="Times New Roman"/>
                <w:sz w:val="16"/>
                <w:szCs w:val="16"/>
                <w:lang w:eastAsia="en-GB"/>
              </w:rPr>
            </w:pPr>
          </w:p>
        </w:tc>
        <w:tc>
          <w:tcPr>
            <w:tcW w:w="796" w:type="dxa"/>
            <w:tcBorders>
              <w:top w:val="nil"/>
              <w:left w:val="nil"/>
              <w:bottom w:val="nil"/>
              <w:right w:val="nil"/>
            </w:tcBorders>
            <w:shd w:val="clear" w:color="auto" w:fill="auto"/>
            <w:noWrap/>
            <w:vAlign w:val="bottom"/>
            <w:hideMark/>
          </w:tcPr>
          <w:p w14:paraId="06F439E1" w14:textId="77777777" w:rsidR="0061459C" w:rsidRPr="007337C6" w:rsidRDefault="0061459C" w:rsidP="00165C01">
            <w:pPr>
              <w:spacing w:after="0" w:line="240" w:lineRule="auto"/>
              <w:rPr>
                <w:rFonts w:ascii="Trebuchet MS" w:eastAsia="Times New Roman" w:hAnsi="Trebuchet MS" w:cs="Times New Roman"/>
                <w:sz w:val="16"/>
                <w:szCs w:val="16"/>
                <w:lang w:eastAsia="en-GB"/>
              </w:rPr>
            </w:pPr>
          </w:p>
        </w:tc>
        <w:tc>
          <w:tcPr>
            <w:tcW w:w="795" w:type="dxa"/>
            <w:tcBorders>
              <w:top w:val="nil"/>
              <w:left w:val="nil"/>
              <w:bottom w:val="nil"/>
              <w:right w:val="nil"/>
            </w:tcBorders>
            <w:shd w:val="clear" w:color="auto" w:fill="auto"/>
            <w:noWrap/>
            <w:vAlign w:val="bottom"/>
            <w:hideMark/>
          </w:tcPr>
          <w:p w14:paraId="625D1B58" w14:textId="77777777" w:rsidR="0061459C" w:rsidRPr="007337C6" w:rsidRDefault="0061459C" w:rsidP="00165C01">
            <w:pPr>
              <w:spacing w:after="0" w:line="240" w:lineRule="auto"/>
              <w:rPr>
                <w:rFonts w:ascii="Trebuchet MS" w:eastAsia="Times New Roman" w:hAnsi="Trebuchet MS" w:cs="Times New Roman"/>
                <w:sz w:val="16"/>
                <w:szCs w:val="16"/>
                <w:lang w:eastAsia="en-GB"/>
              </w:rPr>
            </w:pPr>
          </w:p>
        </w:tc>
        <w:tc>
          <w:tcPr>
            <w:tcW w:w="795" w:type="dxa"/>
            <w:tcBorders>
              <w:top w:val="nil"/>
              <w:left w:val="nil"/>
              <w:bottom w:val="nil"/>
              <w:right w:val="nil"/>
            </w:tcBorders>
            <w:shd w:val="clear" w:color="auto" w:fill="auto"/>
            <w:noWrap/>
            <w:vAlign w:val="bottom"/>
            <w:hideMark/>
          </w:tcPr>
          <w:p w14:paraId="28EED80F" w14:textId="77777777" w:rsidR="0061459C" w:rsidRPr="007337C6" w:rsidRDefault="0061459C" w:rsidP="00165C01">
            <w:pPr>
              <w:spacing w:after="0" w:line="240" w:lineRule="auto"/>
              <w:rPr>
                <w:rFonts w:ascii="Trebuchet MS" w:eastAsia="Times New Roman" w:hAnsi="Trebuchet MS" w:cs="Times New Roman"/>
                <w:sz w:val="16"/>
                <w:szCs w:val="16"/>
                <w:lang w:eastAsia="en-GB"/>
              </w:rPr>
            </w:pPr>
          </w:p>
        </w:tc>
        <w:tc>
          <w:tcPr>
            <w:tcW w:w="1055" w:type="dxa"/>
            <w:tcBorders>
              <w:top w:val="nil"/>
              <w:left w:val="nil"/>
              <w:bottom w:val="nil"/>
              <w:right w:val="nil"/>
            </w:tcBorders>
            <w:shd w:val="clear" w:color="auto" w:fill="auto"/>
            <w:noWrap/>
            <w:vAlign w:val="bottom"/>
            <w:hideMark/>
          </w:tcPr>
          <w:p w14:paraId="6DE39029" w14:textId="77777777" w:rsidR="0061459C" w:rsidRPr="007337C6" w:rsidRDefault="0061459C" w:rsidP="00165C01">
            <w:pPr>
              <w:spacing w:after="0" w:line="240" w:lineRule="auto"/>
              <w:rPr>
                <w:rFonts w:ascii="Trebuchet MS" w:eastAsia="Times New Roman" w:hAnsi="Trebuchet MS" w:cs="Times New Roman"/>
                <w:sz w:val="16"/>
                <w:szCs w:val="16"/>
                <w:lang w:eastAsia="en-GB"/>
              </w:rPr>
            </w:pPr>
          </w:p>
        </w:tc>
        <w:tc>
          <w:tcPr>
            <w:tcW w:w="974" w:type="dxa"/>
            <w:tcBorders>
              <w:top w:val="nil"/>
              <w:left w:val="nil"/>
              <w:bottom w:val="nil"/>
              <w:right w:val="nil"/>
            </w:tcBorders>
            <w:shd w:val="clear" w:color="auto" w:fill="auto"/>
            <w:noWrap/>
            <w:vAlign w:val="bottom"/>
            <w:hideMark/>
          </w:tcPr>
          <w:p w14:paraId="4E1E777E" w14:textId="77777777" w:rsidR="0061459C" w:rsidRPr="007337C6" w:rsidRDefault="0061459C" w:rsidP="00165C01">
            <w:pPr>
              <w:spacing w:after="0" w:line="240" w:lineRule="auto"/>
              <w:rPr>
                <w:rFonts w:ascii="Trebuchet MS" w:eastAsia="Times New Roman" w:hAnsi="Trebuchet MS" w:cs="Times New Roman"/>
                <w:sz w:val="16"/>
                <w:szCs w:val="16"/>
                <w:lang w:eastAsia="en-GB"/>
              </w:rPr>
            </w:pPr>
          </w:p>
        </w:tc>
        <w:tc>
          <w:tcPr>
            <w:tcW w:w="730" w:type="dxa"/>
            <w:tcBorders>
              <w:top w:val="nil"/>
              <w:left w:val="nil"/>
              <w:bottom w:val="nil"/>
              <w:right w:val="nil"/>
            </w:tcBorders>
            <w:shd w:val="clear" w:color="auto" w:fill="auto"/>
            <w:noWrap/>
            <w:vAlign w:val="bottom"/>
            <w:hideMark/>
          </w:tcPr>
          <w:p w14:paraId="01DB0DB2" w14:textId="77777777" w:rsidR="0061459C" w:rsidRPr="007337C6" w:rsidRDefault="0061459C" w:rsidP="00165C01">
            <w:pPr>
              <w:spacing w:after="0" w:line="240" w:lineRule="auto"/>
              <w:rPr>
                <w:rFonts w:ascii="Trebuchet MS" w:eastAsia="Times New Roman" w:hAnsi="Trebuchet MS" w:cs="Times New Roman"/>
                <w:sz w:val="16"/>
                <w:szCs w:val="16"/>
                <w:lang w:eastAsia="en-GB"/>
              </w:rPr>
            </w:pPr>
          </w:p>
        </w:tc>
        <w:tc>
          <w:tcPr>
            <w:tcW w:w="795" w:type="dxa"/>
            <w:tcBorders>
              <w:top w:val="nil"/>
              <w:left w:val="nil"/>
              <w:bottom w:val="nil"/>
              <w:right w:val="nil"/>
            </w:tcBorders>
            <w:shd w:val="clear" w:color="auto" w:fill="auto"/>
            <w:noWrap/>
            <w:vAlign w:val="bottom"/>
            <w:hideMark/>
          </w:tcPr>
          <w:p w14:paraId="4BA90EE0" w14:textId="77777777" w:rsidR="0061459C" w:rsidRPr="007337C6" w:rsidRDefault="0061459C" w:rsidP="00165C01">
            <w:pPr>
              <w:spacing w:after="0" w:line="240" w:lineRule="auto"/>
              <w:rPr>
                <w:rFonts w:ascii="Trebuchet MS" w:eastAsia="Times New Roman" w:hAnsi="Trebuchet MS" w:cs="Times New Roman"/>
                <w:sz w:val="16"/>
                <w:szCs w:val="16"/>
                <w:lang w:eastAsia="en-GB"/>
              </w:rPr>
            </w:pPr>
          </w:p>
        </w:tc>
      </w:tr>
      <w:tr w:rsidR="0061459C" w:rsidRPr="007337C6" w14:paraId="483F2DE2" w14:textId="77777777" w:rsidTr="008F50C3">
        <w:trPr>
          <w:trHeight w:val="272"/>
        </w:trPr>
        <w:tc>
          <w:tcPr>
            <w:tcW w:w="1627" w:type="dxa"/>
            <w:tcBorders>
              <w:top w:val="nil"/>
              <w:left w:val="nil"/>
              <w:bottom w:val="nil"/>
              <w:right w:val="nil"/>
            </w:tcBorders>
            <w:shd w:val="clear" w:color="auto" w:fill="auto"/>
            <w:noWrap/>
            <w:vAlign w:val="bottom"/>
            <w:hideMark/>
          </w:tcPr>
          <w:p w14:paraId="07564A20" w14:textId="77777777" w:rsidR="0061459C" w:rsidRPr="007337C6" w:rsidRDefault="0061459C" w:rsidP="00165C01">
            <w:pPr>
              <w:spacing w:after="0" w:line="240" w:lineRule="auto"/>
              <w:rPr>
                <w:rFonts w:ascii="Trebuchet MS" w:eastAsia="Times New Roman" w:hAnsi="Trebuchet MS" w:cs="Times New Roman"/>
                <w:sz w:val="16"/>
                <w:szCs w:val="16"/>
                <w:lang w:eastAsia="en-GB"/>
              </w:rPr>
            </w:pPr>
          </w:p>
        </w:tc>
        <w:tc>
          <w:tcPr>
            <w:tcW w:w="3488" w:type="dxa"/>
            <w:gridSpan w:val="4"/>
            <w:tcBorders>
              <w:top w:val="single" w:sz="8" w:space="0" w:color="0070C0"/>
              <w:left w:val="single" w:sz="8" w:space="0" w:color="0070C0"/>
              <w:bottom w:val="single" w:sz="8" w:space="0" w:color="0070C0"/>
              <w:right w:val="nil"/>
            </w:tcBorders>
            <w:shd w:val="clear" w:color="auto" w:fill="auto"/>
            <w:noWrap/>
            <w:vAlign w:val="center"/>
            <w:hideMark/>
          </w:tcPr>
          <w:p w14:paraId="146665D3" w14:textId="77777777" w:rsidR="0061459C" w:rsidRPr="007337C6" w:rsidRDefault="0061459C" w:rsidP="00165C01">
            <w:pPr>
              <w:spacing w:after="0" w:line="240" w:lineRule="auto"/>
              <w:jc w:val="center"/>
              <w:rPr>
                <w:rFonts w:ascii="Trebuchet MS" w:eastAsia="Times New Roman" w:hAnsi="Trebuchet MS" w:cs="Times New Roman"/>
                <w:color w:val="0070C0"/>
                <w:sz w:val="16"/>
                <w:szCs w:val="16"/>
                <w:lang w:eastAsia="en-GB"/>
              </w:rPr>
            </w:pPr>
            <w:r w:rsidRPr="007337C6">
              <w:rPr>
                <w:rFonts w:ascii="Trebuchet MS" w:eastAsia="Times New Roman" w:hAnsi="Trebuchet MS" w:cs="Times New Roman"/>
                <w:color w:val="0070C0"/>
                <w:sz w:val="16"/>
                <w:szCs w:val="16"/>
                <w:lang w:eastAsia="en-GB"/>
              </w:rPr>
              <w:t>Before Scheme</w:t>
            </w:r>
          </w:p>
        </w:tc>
        <w:tc>
          <w:tcPr>
            <w:tcW w:w="795" w:type="dxa"/>
            <w:tcBorders>
              <w:top w:val="single" w:sz="8" w:space="0" w:color="0070C0"/>
              <w:left w:val="nil"/>
              <w:bottom w:val="single" w:sz="8" w:space="0" w:color="0070C0"/>
              <w:right w:val="single" w:sz="8" w:space="0" w:color="0070C0"/>
            </w:tcBorders>
            <w:shd w:val="clear" w:color="auto" w:fill="auto"/>
            <w:noWrap/>
            <w:vAlign w:val="center"/>
            <w:hideMark/>
          </w:tcPr>
          <w:p w14:paraId="375D0BF8" w14:textId="77777777" w:rsidR="0061459C" w:rsidRPr="007337C6" w:rsidRDefault="0061459C" w:rsidP="00165C01">
            <w:pPr>
              <w:spacing w:after="0" w:line="240" w:lineRule="auto"/>
              <w:jc w:val="center"/>
              <w:rPr>
                <w:rFonts w:ascii="Trebuchet MS" w:eastAsia="Times New Roman" w:hAnsi="Trebuchet MS" w:cs="Times New Roman"/>
                <w:color w:val="0070C0"/>
                <w:sz w:val="16"/>
                <w:szCs w:val="16"/>
                <w:lang w:eastAsia="en-GB"/>
              </w:rPr>
            </w:pPr>
            <w:r w:rsidRPr="007337C6">
              <w:rPr>
                <w:rFonts w:ascii="Trebuchet MS" w:eastAsia="Times New Roman" w:hAnsi="Trebuchet MS" w:cs="Times New Roman"/>
                <w:color w:val="0070C0"/>
                <w:sz w:val="16"/>
                <w:szCs w:val="16"/>
                <w:lang w:eastAsia="en-GB"/>
              </w:rPr>
              <w:t> </w:t>
            </w:r>
          </w:p>
        </w:tc>
        <w:tc>
          <w:tcPr>
            <w:tcW w:w="4349" w:type="dxa"/>
            <w:gridSpan w:val="5"/>
            <w:tcBorders>
              <w:top w:val="single" w:sz="8" w:space="0" w:color="0070C0"/>
              <w:left w:val="nil"/>
              <w:bottom w:val="single" w:sz="8" w:space="0" w:color="0070C0"/>
              <w:right w:val="single" w:sz="8" w:space="0" w:color="0070C0"/>
            </w:tcBorders>
            <w:shd w:val="clear" w:color="auto" w:fill="auto"/>
            <w:noWrap/>
            <w:vAlign w:val="center"/>
            <w:hideMark/>
          </w:tcPr>
          <w:p w14:paraId="07A10B67" w14:textId="77777777" w:rsidR="0061459C" w:rsidRPr="007337C6" w:rsidRDefault="0061459C" w:rsidP="00165C01">
            <w:pPr>
              <w:spacing w:after="0" w:line="240" w:lineRule="auto"/>
              <w:jc w:val="center"/>
              <w:rPr>
                <w:rFonts w:ascii="Trebuchet MS" w:eastAsia="Times New Roman" w:hAnsi="Trebuchet MS" w:cs="Times New Roman"/>
                <w:color w:val="0070C0"/>
                <w:sz w:val="16"/>
                <w:szCs w:val="16"/>
                <w:lang w:eastAsia="en-GB"/>
              </w:rPr>
            </w:pPr>
            <w:r w:rsidRPr="007337C6">
              <w:rPr>
                <w:rFonts w:ascii="Trebuchet MS" w:eastAsia="Times New Roman" w:hAnsi="Trebuchet MS" w:cs="Times New Roman"/>
                <w:color w:val="0070C0"/>
                <w:sz w:val="16"/>
                <w:szCs w:val="16"/>
                <w:lang w:eastAsia="en-GB"/>
              </w:rPr>
              <w:t>After Scheme</w:t>
            </w:r>
          </w:p>
        </w:tc>
      </w:tr>
      <w:tr w:rsidR="0061459C" w:rsidRPr="007337C6" w14:paraId="4EAD63C1" w14:textId="77777777" w:rsidTr="008F50C3">
        <w:trPr>
          <w:trHeight w:val="293"/>
        </w:trPr>
        <w:tc>
          <w:tcPr>
            <w:tcW w:w="1627" w:type="dxa"/>
            <w:tcBorders>
              <w:top w:val="nil"/>
              <w:left w:val="nil"/>
              <w:bottom w:val="nil"/>
              <w:right w:val="nil"/>
            </w:tcBorders>
            <w:shd w:val="clear" w:color="auto" w:fill="auto"/>
            <w:noWrap/>
            <w:vAlign w:val="center"/>
            <w:hideMark/>
          </w:tcPr>
          <w:p w14:paraId="3AD00B2C" w14:textId="77777777" w:rsidR="0061459C" w:rsidRPr="007337C6" w:rsidRDefault="0061459C" w:rsidP="00165C01">
            <w:pPr>
              <w:spacing w:after="0" w:line="240" w:lineRule="auto"/>
              <w:jc w:val="center"/>
              <w:rPr>
                <w:rFonts w:ascii="Trebuchet MS" w:eastAsia="Times New Roman" w:hAnsi="Trebuchet MS" w:cs="Times New Roman"/>
                <w:b/>
                <w:bCs/>
                <w:color w:val="000000"/>
                <w:sz w:val="16"/>
                <w:szCs w:val="16"/>
                <w:lang w:eastAsia="en-GB"/>
              </w:rPr>
            </w:pPr>
            <w:r w:rsidRPr="007337C6">
              <w:rPr>
                <w:rFonts w:ascii="Trebuchet MS" w:eastAsia="Times New Roman" w:hAnsi="Trebuchet MS" w:cs="Times New Roman"/>
                <w:b/>
                <w:bCs/>
                <w:color w:val="000000"/>
                <w:sz w:val="16"/>
                <w:szCs w:val="16"/>
                <w:lang w:eastAsia="en-GB"/>
              </w:rPr>
              <w:t>AEI</w:t>
            </w:r>
          </w:p>
        </w:tc>
        <w:tc>
          <w:tcPr>
            <w:tcW w:w="728" w:type="dxa"/>
            <w:tcBorders>
              <w:top w:val="nil"/>
              <w:left w:val="single" w:sz="8" w:space="0" w:color="0070C0"/>
              <w:bottom w:val="single" w:sz="8" w:space="0" w:color="0070C0"/>
              <w:right w:val="nil"/>
            </w:tcBorders>
            <w:shd w:val="clear" w:color="auto" w:fill="auto"/>
            <w:noWrap/>
            <w:vAlign w:val="center"/>
            <w:hideMark/>
          </w:tcPr>
          <w:p w14:paraId="5A49692E" w14:textId="77777777" w:rsidR="0061459C" w:rsidRPr="007337C6" w:rsidRDefault="0061459C" w:rsidP="00165C01">
            <w:pPr>
              <w:spacing w:after="0" w:line="240" w:lineRule="auto"/>
              <w:jc w:val="right"/>
              <w:rPr>
                <w:rFonts w:ascii="Trebuchet MS" w:eastAsia="Times New Roman" w:hAnsi="Trebuchet MS" w:cs="Times New Roman"/>
                <w:color w:val="0070C0"/>
                <w:sz w:val="16"/>
                <w:szCs w:val="16"/>
                <w:lang w:eastAsia="en-GB"/>
              </w:rPr>
            </w:pPr>
            <w:r w:rsidRPr="007337C6">
              <w:rPr>
                <w:rFonts w:ascii="Trebuchet MS" w:eastAsia="Times New Roman" w:hAnsi="Trebuchet MS" w:cs="Times New Roman"/>
                <w:color w:val="0070C0"/>
                <w:sz w:val="16"/>
                <w:szCs w:val="16"/>
                <w:lang w:eastAsia="en-GB"/>
              </w:rPr>
              <w:t>UK</w:t>
            </w:r>
          </w:p>
        </w:tc>
        <w:tc>
          <w:tcPr>
            <w:tcW w:w="1055" w:type="dxa"/>
            <w:tcBorders>
              <w:top w:val="nil"/>
              <w:left w:val="nil"/>
              <w:bottom w:val="single" w:sz="8" w:space="0" w:color="0070C0"/>
              <w:right w:val="nil"/>
            </w:tcBorders>
            <w:shd w:val="clear" w:color="auto" w:fill="auto"/>
            <w:noWrap/>
            <w:vAlign w:val="center"/>
            <w:hideMark/>
          </w:tcPr>
          <w:p w14:paraId="4D54ED84" w14:textId="77777777" w:rsidR="0061459C" w:rsidRPr="007337C6" w:rsidRDefault="0061459C" w:rsidP="00165C01">
            <w:pPr>
              <w:spacing w:after="0" w:line="240" w:lineRule="auto"/>
              <w:jc w:val="right"/>
              <w:rPr>
                <w:rFonts w:ascii="Trebuchet MS" w:eastAsia="Times New Roman" w:hAnsi="Trebuchet MS" w:cs="Times New Roman"/>
                <w:color w:val="0070C0"/>
                <w:sz w:val="16"/>
                <w:szCs w:val="16"/>
                <w:lang w:eastAsia="en-GB"/>
              </w:rPr>
            </w:pPr>
            <w:r w:rsidRPr="007337C6">
              <w:rPr>
                <w:rFonts w:ascii="Trebuchet MS" w:eastAsia="Times New Roman" w:hAnsi="Trebuchet MS" w:cs="Times New Roman"/>
                <w:color w:val="0070C0"/>
                <w:sz w:val="16"/>
                <w:szCs w:val="16"/>
                <w:lang w:eastAsia="en-GB"/>
              </w:rPr>
              <w:t>Switzerland</w:t>
            </w:r>
          </w:p>
        </w:tc>
        <w:tc>
          <w:tcPr>
            <w:tcW w:w="909" w:type="dxa"/>
            <w:tcBorders>
              <w:top w:val="nil"/>
              <w:left w:val="nil"/>
              <w:bottom w:val="single" w:sz="8" w:space="0" w:color="0070C0"/>
              <w:right w:val="nil"/>
            </w:tcBorders>
            <w:shd w:val="clear" w:color="auto" w:fill="auto"/>
            <w:noWrap/>
            <w:vAlign w:val="center"/>
            <w:hideMark/>
          </w:tcPr>
          <w:p w14:paraId="4E28B8B2" w14:textId="77777777" w:rsidR="0061459C" w:rsidRPr="007337C6" w:rsidRDefault="0061459C" w:rsidP="00165C01">
            <w:pPr>
              <w:spacing w:after="0" w:line="240" w:lineRule="auto"/>
              <w:jc w:val="right"/>
              <w:rPr>
                <w:rFonts w:ascii="Trebuchet MS" w:eastAsia="Times New Roman" w:hAnsi="Trebuchet MS" w:cs="Times New Roman"/>
                <w:color w:val="0070C0"/>
                <w:sz w:val="16"/>
                <w:szCs w:val="16"/>
                <w:lang w:eastAsia="en-GB"/>
              </w:rPr>
            </w:pPr>
            <w:r w:rsidRPr="007337C6">
              <w:rPr>
                <w:rFonts w:ascii="Trebuchet MS" w:eastAsia="Times New Roman" w:hAnsi="Trebuchet MS" w:cs="Times New Roman"/>
                <w:color w:val="0070C0"/>
                <w:sz w:val="16"/>
                <w:szCs w:val="16"/>
                <w:lang w:eastAsia="en-GB"/>
              </w:rPr>
              <w:t>South Africa</w:t>
            </w:r>
          </w:p>
        </w:tc>
        <w:tc>
          <w:tcPr>
            <w:tcW w:w="796" w:type="dxa"/>
            <w:tcBorders>
              <w:top w:val="nil"/>
              <w:left w:val="nil"/>
              <w:bottom w:val="single" w:sz="8" w:space="0" w:color="0070C0"/>
              <w:right w:val="nil"/>
            </w:tcBorders>
            <w:shd w:val="clear" w:color="auto" w:fill="auto"/>
            <w:noWrap/>
            <w:vAlign w:val="center"/>
            <w:hideMark/>
          </w:tcPr>
          <w:p w14:paraId="0B42530B" w14:textId="77777777" w:rsidR="0061459C" w:rsidRPr="007337C6" w:rsidRDefault="0061459C" w:rsidP="00165C01">
            <w:pPr>
              <w:spacing w:after="0" w:line="240" w:lineRule="auto"/>
              <w:jc w:val="right"/>
              <w:rPr>
                <w:rFonts w:ascii="Trebuchet MS" w:eastAsia="Times New Roman" w:hAnsi="Trebuchet MS" w:cs="Times New Roman"/>
                <w:color w:val="0070C0"/>
                <w:sz w:val="16"/>
                <w:szCs w:val="16"/>
                <w:lang w:eastAsia="en-GB"/>
              </w:rPr>
            </w:pPr>
            <w:r w:rsidRPr="007337C6">
              <w:rPr>
                <w:rFonts w:ascii="Trebuchet MS" w:eastAsia="Times New Roman" w:hAnsi="Trebuchet MS" w:cs="Times New Roman"/>
                <w:color w:val="0070C0"/>
                <w:sz w:val="16"/>
                <w:szCs w:val="16"/>
                <w:lang w:eastAsia="en-GB"/>
              </w:rPr>
              <w:t>EU</w:t>
            </w:r>
          </w:p>
        </w:tc>
        <w:tc>
          <w:tcPr>
            <w:tcW w:w="795" w:type="dxa"/>
            <w:tcBorders>
              <w:top w:val="nil"/>
              <w:left w:val="single" w:sz="8" w:space="0" w:color="0070C0"/>
              <w:bottom w:val="single" w:sz="8" w:space="0" w:color="0070C0"/>
              <w:right w:val="single" w:sz="8" w:space="0" w:color="0070C0"/>
            </w:tcBorders>
            <w:shd w:val="clear" w:color="auto" w:fill="auto"/>
            <w:noWrap/>
            <w:vAlign w:val="center"/>
            <w:hideMark/>
          </w:tcPr>
          <w:p w14:paraId="0A788053" w14:textId="77777777" w:rsidR="0061459C" w:rsidRPr="007337C6" w:rsidRDefault="0061459C" w:rsidP="00165C01">
            <w:pPr>
              <w:spacing w:after="0" w:line="240" w:lineRule="auto"/>
              <w:jc w:val="right"/>
              <w:rPr>
                <w:rFonts w:ascii="Trebuchet MS" w:eastAsia="Times New Roman" w:hAnsi="Trebuchet MS" w:cs="Times New Roman"/>
                <w:color w:val="0070C0"/>
                <w:sz w:val="16"/>
                <w:szCs w:val="16"/>
                <w:lang w:eastAsia="en-GB"/>
              </w:rPr>
            </w:pPr>
            <w:r w:rsidRPr="007337C6">
              <w:rPr>
                <w:rFonts w:ascii="Trebuchet MS" w:eastAsia="Times New Roman" w:hAnsi="Trebuchet MS" w:cs="Times New Roman"/>
                <w:color w:val="0070C0"/>
                <w:sz w:val="16"/>
                <w:szCs w:val="16"/>
                <w:lang w:eastAsia="en-GB"/>
              </w:rPr>
              <w:t>Total</w:t>
            </w:r>
          </w:p>
        </w:tc>
        <w:tc>
          <w:tcPr>
            <w:tcW w:w="795" w:type="dxa"/>
            <w:tcBorders>
              <w:top w:val="nil"/>
              <w:left w:val="nil"/>
              <w:bottom w:val="single" w:sz="8" w:space="0" w:color="0070C0"/>
              <w:right w:val="nil"/>
            </w:tcBorders>
            <w:shd w:val="clear" w:color="auto" w:fill="auto"/>
            <w:noWrap/>
            <w:vAlign w:val="center"/>
            <w:hideMark/>
          </w:tcPr>
          <w:p w14:paraId="4BDFB3E3" w14:textId="77777777" w:rsidR="0061459C" w:rsidRPr="007337C6" w:rsidRDefault="0061459C" w:rsidP="00165C01">
            <w:pPr>
              <w:spacing w:after="0" w:line="240" w:lineRule="auto"/>
              <w:jc w:val="right"/>
              <w:rPr>
                <w:rFonts w:ascii="Trebuchet MS" w:eastAsia="Times New Roman" w:hAnsi="Trebuchet MS" w:cs="Times New Roman"/>
                <w:color w:val="0070C0"/>
                <w:sz w:val="16"/>
                <w:szCs w:val="16"/>
                <w:lang w:eastAsia="en-GB"/>
              </w:rPr>
            </w:pPr>
            <w:r w:rsidRPr="007337C6">
              <w:rPr>
                <w:rFonts w:ascii="Trebuchet MS" w:eastAsia="Times New Roman" w:hAnsi="Trebuchet MS" w:cs="Times New Roman"/>
                <w:color w:val="0070C0"/>
                <w:sz w:val="16"/>
                <w:szCs w:val="16"/>
                <w:lang w:eastAsia="en-GB"/>
              </w:rPr>
              <w:t>UK</w:t>
            </w:r>
          </w:p>
        </w:tc>
        <w:tc>
          <w:tcPr>
            <w:tcW w:w="1055" w:type="dxa"/>
            <w:tcBorders>
              <w:top w:val="nil"/>
              <w:left w:val="nil"/>
              <w:bottom w:val="single" w:sz="8" w:space="0" w:color="0070C0"/>
              <w:right w:val="nil"/>
            </w:tcBorders>
            <w:shd w:val="clear" w:color="auto" w:fill="auto"/>
            <w:noWrap/>
            <w:vAlign w:val="center"/>
            <w:hideMark/>
          </w:tcPr>
          <w:p w14:paraId="6004ED18" w14:textId="77777777" w:rsidR="0061459C" w:rsidRPr="007337C6" w:rsidRDefault="0061459C" w:rsidP="00165C01">
            <w:pPr>
              <w:spacing w:after="0" w:line="240" w:lineRule="auto"/>
              <w:jc w:val="right"/>
              <w:rPr>
                <w:rFonts w:ascii="Trebuchet MS" w:eastAsia="Times New Roman" w:hAnsi="Trebuchet MS" w:cs="Times New Roman"/>
                <w:color w:val="0070C0"/>
                <w:sz w:val="16"/>
                <w:szCs w:val="16"/>
                <w:lang w:eastAsia="en-GB"/>
              </w:rPr>
            </w:pPr>
            <w:r w:rsidRPr="007337C6">
              <w:rPr>
                <w:rFonts w:ascii="Trebuchet MS" w:eastAsia="Times New Roman" w:hAnsi="Trebuchet MS" w:cs="Times New Roman"/>
                <w:color w:val="0070C0"/>
                <w:sz w:val="16"/>
                <w:szCs w:val="16"/>
                <w:lang w:eastAsia="en-GB"/>
              </w:rPr>
              <w:t>Switzerland</w:t>
            </w:r>
          </w:p>
        </w:tc>
        <w:tc>
          <w:tcPr>
            <w:tcW w:w="974" w:type="dxa"/>
            <w:tcBorders>
              <w:top w:val="nil"/>
              <w:left w:val="nil"/>
              <w:bottom w:val="single" w:sz="8" w:space="0" w:color="0070C0"/>
              <w:right w:val="nil"/>
            </w:tcBorders>
            <w:shd w:val="clear" w:color="auto" w:fill="auto"/>
            <w:noWrap/>
            <w:vAlign w:val="center"/>
            <w:hideMark/>
          </w:tcPr>
          <w:p w14:paraId="3808A58F" w14:textId="77777777" w:rsidR="0061459C" w:rsidRPr="007337C6" w:rsidRDefault="0061459C" w:rsidP="00165C01">
            <w:pPr>
              <w:spacing w:after="0" w:line="240" w:lineRule="auto"/>
              <w:jc w:val="right"/>
              <w:rPr>
                <w:rFonts w:ascii="Trebuchet MS" w:eastAsia="Times New Roman" w:hAnsi="Trebuchet MS" w:cs="Times New Roman"/>
                <w:color w:val="0070C0"/>
                <w:sz w:val="16"/>
                <w:szCs w:val="16"/>
                <w:lang w:eastAsia="en-GB"/>
              </w:rPr>
            </w:pPr>
            <w:r w:rsidRPr="007337C6">
              <w:rPr>
                <w:rFonts w:ascii="Trebuchet MS" w:eastAsia="Times New Roman" w:hAnsi="Trebuchet MS" w:cs="Times New Roman"/>
                <w:color w:val="0070C0"/>
                <w:sz w:val="16"/>
                <w:szCs w:val="16"/>
                <w:lang w:eastAsia="en-GB"/>
              </w:rPr>
              <w:t>South Africa</w:t>
            </w:r>
          </w:p>
        </w:tc>
        <w:tc>
          <w:tcPr>
            <w:tcW w:w="730" w:type="dxa"/>
            <w:tcBorders>
              <w:top w:val="nil"/>
              <w:left w:val="nil"/>
              <w:bottom w:val="single" w:sz="8" w:space="0" w:color="0070C0"/>
              <w:right w:val="nil"/>
            </w:tcBorders>
            <w:shd w:val="clear" w:color="auto" w:fill="auto"/>
            <w:noWrap/>
            <w:vAlign w:val="center"/>
            <w:hideMark/>
          </w:tcPr>
          <w:p w14:paraId="3EC431BF" w14:textId="77777777" w:rsidR="0061459C" w:rsidRPr="007337C6" w:rsidRDefault="0061459C" w:rsidP="00165C01">
            <w:pPr>
              <w:spacing w:after="0" w:line="240" w:lineRule="auto"/>
              <w:jc w:val="right"/>
              <w:rPr>
                <w:rFonts w:ascii="Trebuchet MS" w:eastAsia="Times New Roman" w:hAnsi="Trebuchet MS" w:cs="Times New Roman"/>
                <w:color w:val="0070C0"/>
                <w:sz w:val="16"/>
                <w:szCs w:val="16"/>
                <w:lang w:eastAsia="en-GB"/>
              </w:rPr>
            </w:pPr>
            <w:r w:rsidRPr="007337C6">
              <w:rPr>
                <w:rFonts w:ascii="Trebuchet MS" w:eastAsia="Times New Roman" w:hAnsi="Trebuchet MS" w:cs="Times New Roman"/>
                <w:color w:val="0070C0"/>
                <w:sz w:val="16"/>
                <w:szCs w:val="16"/>
                <w:lang w:eastAsia="en-GB"/>
              </w:rPr>
              <w:t>EU</w:t>
            </w:r>
          </w:p>
        </w:tc>
        <w:tc>
          <w:tcPr>
            <w:tcW w:w="795" w:type="dxa"/>
            <w:tcBorders>
              <w:top w:val="nil"/>
              <w:left w:val="single" w:sz="8" w:space="0" w:color="0070C0"/>
              <w:bottom w:val="single" w:sz="8" w:space="0" w:color="0070C0"/>
              <w:right w:val="single" w:sz="8" w:space="0" w:color="0070C0"/>
            </w:tcBorders>
            <w:shd w:val="clear" w:color="auto" w:fill="auto"/>
            <w:noWrap/>
            <w:vAlign w:val="center"/>
            <w:hideMark/>
          </w:tcPr>
          <w:p w14:paraId="07B53B37" w14:textId="77777777" w:rsidR="0061459C" w:rsidRPr="007337C6" w:rsidRDefault="0061459C" w:rsidP="00165C01">
            <w:pPr>
              <w:spacing w:after="0" w:line="240" w:lineRule="auto"/>
              <w:jc w:val="right"/>
              <w:rPr>
                <w:rFonts w:ascii="Trebuchet MS" w:eastAsia="Times New Roman" w:hAnsi="Trebuchet MS" w:cs="Times New Roman"/>
                <w:color w:val="0070C0"/>
                <w:sz w:val="16"/>
                <w:szCs w:val="16"/>
                <w:lang w:eastAsia="en-GB"/>
              </w:rPr>
            </w:pPr>
            <w:r w:rsidRPr="007337C6">
              <w:rPr>
                <w:rFonts w:ascii="Trebuchet MS" w:eastAsia="Times New Roman" w:hAnsi="Trebuchet MS" w:cs="Times New Roman"/>
                <w:color w:val="0070C0"/>
                <w:sz w:val="16"/>
                <w:szCs w:val="16"/>
                <w:lang w:eastAsia="en-GB"/>
              </w:rPr>
              <w:t>Total</w:t>
            </w:r>
          </w:p>
        </w:tc>
      </w:tr>
      <w:tr w:rsidR="008F50C3" w:rsidRPr="007337C6" w14:paraId="5760C263" w14:textId="77777777" w:rsidTr="001E2B2B">
        <w:trPr>
          <w:trHeight w:val="261"/>
        </w:trPr>
        <w:tc>
          <w:tcPr>
            <w:tcW w:w="1627" w:type="dxa"/>
            <w:tcBorders>
              <w:top w:val="single" w:sz="8" w:space="0" w:color="0070C0"/>
              <w:left w:val="single" w:sz="8" w:space="0" w:color="0070C0"/>
              <w:bottom w:val="single" w:sz="8" w:space="0" w:color="0070C0"/>
              <w:right w:val="single" w:sz="8" w:space="0" w:color="0070C0"/>
            </w:tcBorders>
            <w:shd w:val="clear" w:color="auto" w:fill="auto"/>
            <w:noWrap/>
            <w:vAlign w:val="center"/>
            <w:hideMark/>
          </w:tcPr>
          <w:p w14:paraId="6CD8B47C" w14:textId="77777777" w:rsidR="008F50C3" w:rsidRPr="007337C6" w:rsidRDefault="008F50C3" w:rsidP="008F50C3">
            <w:pPr>
              <w:spacing w:after="0" w:line="240" w:lineRule="auto"/>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Claims Provision</w:t>
            </w:r>
          </w:p>
        </w:tc>
        <w:tc>
          <w:tcPr>
            <w:tcW w:w="728" w:type="dxa"/>
            <w:tcBorders>
              <w:top w:val="nil"/>
              <w:left w:val="nil"/>
              <w:bottom w:val="single" w:sz="8" w:space="0" w:color="0070C0"/>
              <w:right w:val="nil"/>
            </w:tcBorders>
            <w:shd w:val="clear" w:color="auto" w:fill="auto"/>
            <w:noWrap/>
            <w:vAlign w:val="bottom"/>
            <w:hideMark/>
          </w:tcPr>
          <w:p w14:paraId="5090DCED" w14:textId="77777777" w:rsidR="008F50C3" w:rsidRPr="007337C6" w:rsidRDefault="008F50C3"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0</w:t>
            </w:r>
          </w:p>
        </w:tc>
        <w:tc>
          <w:tcPr>
            <w:tcW w:w="1055" w:type="dxa"/>
            <w:tcBorders>
              <w:top w:val="nil"/>
              <w:left w:val="nil"/>
              <w:bottom w:val="single" w:sz="8" w:space="0" w:color="0070C0"/>
              <w:right w:val="nil"/>
            </w:tcBorders>
            <w:shd w:val="clear" w:color="auto" w:fill="auto"/>
            <w:noWrap/>
            <w:vAlign w:val="bottom"/>
            <w:hideMark/>
          </w:tcPr>
          <w:p w14:paraId="60784EE1" w14:textId="77777777" w:rsidR="008F50C3" w:rsidRPr="007337C6" w:rsidRDefault="008F50C3"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0</w:t>
            </w:r>
          </w:p>
        </w:tc>
        <w:tc>
          <w:tcPr>
            <w:tcW w:w="909" w:type="dxa"/>
            <w:tcBorders>
              <w:top w:val="nil"/>
              <w:left w:val="nil"/>
              <w:bottom w:val="single" w:sz="8" w:space="0" w:color="0070C0"/>
              <w:right w:val="nil"/>
            </w:tcBorders>
            <w:shd w:val="clear" w:color="auto" w:fill="auto"/>
            <w:noWrap/>
            <w:vAlign w:val="bottom"/>
            <w:hideMark/>
          </w:tcPr>
          <w:p w14:paraId="02770554" w14:textId="77777777" w:rsidR="008F50C3" w:rsidRPr="007337C6" w:rsidRDefault="008F50C3"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0</w:t>
            </w:r>
          </w:p>
        </w:tc>
        <w:tc>
          <w:tcPr>
            <w:tcW w:w="796" w:type="dxa"/>
            <w:tcBorders>
              <w:top w:val="nil"/>
              <w:left w:val="nil"/>
              <w:bottom w:val="single" w:sz="8" w:space="0" w:color="0070C0"/>
              <w:right w:val="nil"/>
            </w:tcBorders>
            <w:shd w:val="clear" w:color="auto" w:fill="auto"/>
            <w:noWrap/>
            <w:vAlign w:val="bottom"/>
            <w:hideMark/>
          </w:tcPr>
          <w:p w14:paraId="2B141719" w14:textId="77777777" w:rsidR="008F50C3" w:rsidRPr="007337C6" w:rsidRDefault="008F50C3"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0</w:t>
            </w:r>
          </w:p>
        </w:tc>
        <w:tc>
          <w:tcPr>
            <w:tcW w:w="795" w:type="dxa"/>
            <w:tcBorders>
              <w:top w:val="nil"/>
              <w:left w:val="single" w:sz="8" w:space="0" w:color="0070C0"/>
              <w:bottom w:val="single" w:sz="8" w:space="0" w:color="0070C0"/>
              <w:right w:val="single" w:sz="8" w:space="0" w:color="0070C0"/>
            </w:tcBorders>
            <w:shd w:val="clear" w:color="auto" w:fill="auto"/>
            <w:noWrap/>
            <w:vAlign w:val="bottom"/>
            <w:hideMark/>
          </w:tcPr>
          <w:p w14:paraId="3CC6DAAC" w14:textId="77777777" w:rsidR="008F50C3" w:rsidRPr="007337C6" w:rsidRDefault="008F50C3"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0</w:t>
            </w:r>
          </w:p>
        </w:tc>
        <w:tc>
          <w:tcPr>
            <w:tcW w:w="795" w:type="dxa"/>
            <w:tcBorders>
              <w:top w:val="nil"/>
              <w:left w:val="nil"/>
              <w:bottom w:val="single" w:sz="8" w:space="0" w:color="0070C0"/>
              <w:right w:val="nil"/>
            </w:tcBorders>
            <w:shd w:val="clear" w:color="auto" w:fill="auto"/>
            <w:noWrap/>
            <w:vAlign w:val="bottom"/>
            <w:hideMark/>
          </w:tcPr>
          <w:p w14:paraId="33BFD8FE" w14:textId="77777777" w:rsidR="008F50C3" w:rsidRPr="007337C6" w:rsidRDefault="008F50C3"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0</w:t>
            </w:r>
          </w:p>
        </w:tc>
        <w:tc>
          <w:tcPr>
            <w:tcW w:w="1055" w:type="dxa"/>
            <w:tcBorders>
              <w:top w:val="nil"/>
              <w:left w:val="nil"/>
              <w:bottom w:val="single" w:sz="8" w:space="0" w:color="0070C0"/>
              <w:right w:val="nil"/>
            </w:tcBorders>
            <w:shd w:val="clear" w:color="auto" w:fill="auto"/>
            <w:noWrap/>
            <w:vAlign w:val="bottom"/>
            <w:hideMark/>
          </w:tcPr>
          <w:p w14:paraId="61F46050" w14:textId="77777777" w:rsidR="008F50C3" w:rsidRPr="007337C6" w:rsidRDefault="008F50C3"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0</w:t>
            </w:r>
          </w:p>
        </w:tc>
        <w:tc>
          <w:tcPr>
            <w:tcW w:w="974" w:type="dxa"/>
            <w:tcBorders>
              <w:top w:val="nil"/>
              <w:left w:val="nil"/>
              <w:bottom w:val="single" w:sz="8" w:space="0" w:color="0070C0"/>
              <w:right w:val="nil"/>
            </w:tcBorders>
            <w:shd w:val="clear" w:color="auto" w:fill="auto"/>
            <w:noWrap/>
            <w:vAlign w:val="bottom"/>
            <w:hideMark/>
          </w:tcPr>
          <w:p w14:paraId="771FC74F" w14:textId="77777777" w:rsidR="008F50C3" w:rsidRPr="007337C6" w:rsidRDefault="008F50C3"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0</w:t>
            </w:r>
          </w:p>
        </w:tc>
        <w:tc>
          <w:tcPr>
            <w:tcW w:w="730" w:type="dxa"/>
            <w:tcBorders>
              <w:top w:val="nil"/>
              <w:left w:val="nil"/>
              <w:bottom w:val="single" w:sz="8" w:space="0" w:color="0070C0"/>
              <w:right w:val="nil"/>
            </w:tcBorders>
            <w:shd w:val="clear" w:color="auto" w:fill="auto"/>
            <w:noWrap/>
            <w:vAlign w:val="bottom"/>
            <w:hideMark/>
          </w:tcPr>
          <w:p w14:paraId="192E1145" w14:textId="4ABFAC40" w:rsidR="008F50C3" w:rsidRPr="007337C6" w:rsidRDefault="008F50C3"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3,540</w:t>
            </w:r>
          </w:p>
        </w:tc>
        <w:tc>
          <w:tcPr>
            <w:tcW w:w="795" w:type="dxa"/>
            <w:tcBorders>
              <w:top w:val="nil"/>
              <w:left w:val="single" w:sz="8" w:space="0" w:color="0070C0"/>
              <w:bottom w:val="single" w:sz="8" w:space="0" w:color="0070C0"/>
              <w:right w:val="single" w:sz="8" w:space="0" w:color="0070C0"/>
            </w:tcBorders>
            <w:shd w:val="clear" w:color="auto" w:fill="auto"/>
            <w:noWrap/>
            <w:vAlign w:val="bottom"/>
            <w:hideMark/>
          </w:tcPr>
          <w:p w14:paraId="17594961" w14:textId="4E2F54C0" w:rsidR="008F50C3" w:rsidRPr="007337C6" w:rsidRDefault="008F50C3"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3,540</w:t>
            </w:r>
          </w:p>
        </w:tc>
      </w:tr>
      <w:tr w:rsidR="008F50C3" w:rsidRPr="007337C6" w14:paraId="0AFF6A78" w14:textId="77777777" w:rsidTr="001E2B2B">
        <w:trPr>
          <w:trHeight w:val="261"/>
        </w:trPr>
        <w:tc>
          <w:tcPr>
            <w:tcW w:w="1627" w:type="dxa"/>
            <w:tcBorders>
              <w:top w:val="nil"/>
              <w:left w:val="single" w:sz="8" w:space="0" w:color="0070C0"/>
              <w:bottom w:val="single" w:sz="8" w:space="0" w:color="0070C0"/>
              <w:right w:val="single" w:sz="8" w:space="0" w:color="0070C0"/>
            </w:tcBorders>
            <w:shd w:val="clear" w:color="auto" w:fill="auto"/>
            <w:noWrap/>
            <w:vAlign w:val="center"/>
            <w:hideMark/>
          </w:tcPr>
          <w:p w14:paraId="360E39FD" w14:textId="77777777" w:rsidR="008F50C3" w:rsidRPr="007337C6" w:rsidRDefault="008F50C3" w:rsidP="008F50C3">
            <w:pPr>
              <w:spacing w:after="0" w:line="240" w:lineRule="auto"/>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Premium Provision</w:t>
            </w:r>
          </w:p>
        </w:tc>
        <w:tc>
          <w:tcPr>
            <w:tcW w:w="728" w:type="dxa"/>
            <w:tcBorders>
              <w:top w:val="nil"/>
              <w:left w:val="nil"/>
              <w:bottom w:val="single" w:sz="8" w:space="0" w:color="0070C0"/>
              <w:right w:val="nil"/>
            </w:tcBorders>
            <w:shd w:val="clear" w:color="auto" w:fill="auto"/>
            <w:noWrap/>
            <w:vAlign w:val="bottom"/>
            <w:hideMark/>
          </w:tcPr>
          <w:p w14:paraId="5AD37992" w14:textId="77777777" w:rsidR="008F50C3" w:rsidRPr="007337C6" w:rsidRDefault="008F50C3"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0</w:t>
            </w:r>
          </w:p>
        </w:tc>
        <w:tc>
          <w:tcPr>
            <w:tcW w:w="1055" w:type="dxa"/>
            <w:tcBorders>
              <w:top w:val="nil"/>
              <w:left w:val="nil"/>
              <w:bottom w:val="single" w:sz="8" w:space="0" w:color="0070C0"/>
              <w:right w:val="nil"/>
            </w:tcBorders>
            <w:shd w:val="clear" w:color="auto" w:fill="auto"/>
            <w:noWrap/>
            <w:vAlign w:val="bottom"/>
            <w:hideMark/>
          </w:tcPr>
          <w:p w14:paraId="7DEBCDFF" w14:textId="77777777" w:rsidR="008F50C3" w:rsidRPr="007337C6" w:rsidRDefault="008F50C3"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0</w:t>
            </w:r>
          </w:p>
        </w:tc>
        <w:tc>
          <w:tcPr>
            <w:tcW w:w="909" w:type="dxa"/>
            <w:tcBorders>
              <w:top w:val="nil"/>
              <w:left w:val="nil"/>
              <w:bottom w:val="single" w:sz="8" w:space="0" w:color="0070C0"/>
              <w:right w:val="nil"/>
            </w:tcBorders>
            <w:shd w:val="clear" w:color="auto" w:fill="auto"/>
            <w:noWrap/>
            <w:vAlign w:val="bottom"/>
            <w:hideMark/>
          </w:tcPr>
          <w:p w14:paraId="5A4AA86B" w14:textId="77777777" w:rsidR="008F50C3" w:rsidRPr="007337C6" w:rsidRDefault="008F50C3"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0</w:t>
            </w:r>
          </w:p>
        </w:tc>
        <w:tc>
          <w:tcPr>
            <w:tcW w:w="796" w:type="dxa"/>
            <w:tcBorders>
              <w:top w:val="nil"/>
              <w:left w:val="nil"/>
              <w:bottom w:val="single" w:sz="8" w:space="0" w:color="0070C0"/>
              <w:right w:val="nil"/>
            </w:tcBorders>
            <w:shd w:val="clear" w:color="auto" w:fill="auto"/>
            <w:noWrap/>
            <w:vAlign w:val="bottom"/>
            <w:hideMark/>
          </w:tcPr>
          <w:p w14:paraId="7D2C0994" w14:textId="77777777" w:rsidR="008F50C3" w:rsidRPr="007337C6" w:rsidRDefault="008F50C3"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0</w:t>
            </w:r>
          </w:p>
        </w:tc>
        <w:tc>
          <w:tcPr>
            <w:tcW w:w="795" w:type="dxa"/>
            <w:tcBorders>
              <w:top w:val="nil"/>
              <w:left w:val="single" w:sz="8" w:space="0" w:color="0070C0"/>
              <w:bottom w:val="single" w:sz="8" w:space="0" w:color="0070C0"/>
              <w:right w:val="single" w:sz="8" w:space="0" w:color="0070C0"/>
            </w:tcBorders>
            <w:shd w:val="clear" w:color="auto" w:fill="auto"/>
            <w:noWrap/>
            <w:vAlign w:val="bottom"/>
            <w:hideMark/>
          </w:tcPr>
          <w:p w14:paraId="1D786482" w14:textId="77777777" w:rsidR="008F50C3" w:rsidRPr="007337C6" w:rsidRDefault="008F50C3"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0</w:t>
            </w:r>
          </w:p>
        </w:tc>
        <w:tc>
          <w:tcPr>
            <w:tcW w:w="795" w:type="dxa"/>
            <w:tcBorders>
              <w:top w:val="nil"/>
              <w:left w:val="nil"/>
              <w:bottom w:val="single" w:sz="8" w:space="0" w:color="0070C0"/>
              <w:right w:val="nil"/>
            </w:tcBorders>
            <w:shd w:val="clear" w:color="auto" w:fill="auto"/>
            <w:noWrap/>
            <w:vAlign w:val="bottom"/>
            <w:hideMark/>
          </w:tcPr>
          <w:p w14:paraId="2EB49EE0" w14:textId="77777777" w:rsidR="008F50C3" w:rsidRPr="007337C6" w:rsidRDefault="008F50C3"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0</w:t>
            </w:r>
          </w:p>
        </w:tc>
        <w:tc>
          <w:tcPr>
            <w:tcW w:w="1055" w:type="dxa"/>
            <w:tcBorders>
              <w:top w:val="nil"/>
              <w:left w:val="nil"/>
              <w:bottom w:val="single" w:sz="8" w:space="0" w:color="0070C0"/>
              <w:right w:val="nil"/>
            </w:tcBorders>
            <w:shd w:val="clear" w:color="auto" w:fill="auto"/>
            <w:noWrap/>
            <w:vAlign w:val="bottom"/>
            <w:hideMark/>
          </w:tcPr>
          <w:p w14:paraId="623FD46F" w14:textId="77777777" w:rsidR="008F50C3" w:rsidRPr="007337C6" w:rsidRDefault="008F50C3"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0</w:t>
            </w:r>
          </w:p>
        </w:tc>
        <w:tc>
          <w:tcPr>
            <w:tcW w:w="974" w:type="dxa"/>
            <w:tcBorders>
              <w:top w:val="nil"/>
              <w:left w:val="nil"/>
              <w:bottom w:val="single" w:sz="8" w:space="0" w:color="0070C0"/>
              <w:right w:val="nil"/>
            </w:tcBorders>
            <w:shd w:val="clear" w:color="auto" w:fill="auto"/>
            <w:noWrap/>
            <w:vAlign w:val="bottom"/>
            <w:hideMark/>
          </w:tcPr>
          <w:p w14:paraId="45C59717" w14:textId="77777777" w:rsidR="008F50C3" w:rsidRPr="007337C6" w:rsidRDefault="008F50C3"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0</w:t>
            </w:r>
          </w:p>
        </w:tc>
        <w:tc>
          <w:tcPr>
            <w:tcW w:w="730" w:type="dxa"/>
            <w:tcBorders>
              <w:top w:val="nil"/>
              <w:left w:val="nil"/>
              <w:bottom w:val="single" w:sz="8" w:space="0" w:color="0070C0"/>
              <w:right w:val="nil"/>
            </w:tcBorders>
            <w:shd w:val="clear" w:color="auto" w:fill="auto"/>
            <w:noWrap/>
            <w:vAlign w:val="bottom"/>
            <w:hideMark/>
          </w:tcPr>
          <w:p w14:paraId="4842355B" w14:textId="27AFE207" w:rsidR="008F50C3" w:rsidRPr="007337C6" w:rsidRDefault="008F50C3"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1,649</w:t>
            </w:r>
          </w:p>
        </w:tc>
        <w:tc>
          <w:tcPr>
            <w:tcW w:w="795" w:type="dxa"/>
            <w:tcBorders>
              <w:top w:val="nil"/>
              <w:left w:val="single" w:sz="8" w:space="0" w:color="0070C0"/>
              <w:bottom w:val="single" w:sz="8" w:space="0" w:color="0070C0"/>
              <w:right w:val="single" w:sz="8" w:space="0" w:color="0070C0"/>
            </w:tcBorders>
            <w:shd w:val="clear" w:color="auto" w:fill="auto"/>
            <w:noWrap/>
            <w:vAlign w:val="bottom"/>
            <w:hideMark/>
          </w:tcPr>
          <w:p w14:paraId="2F05C265" w14:textId="1EDA1150" w:rsidR="008F50C3" w:rsidRPr="007337C6" w:rsidRDefault="008F50C3"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1,649</w:t>
            </w:r>
          </w:p>
        </w:tc>
      </w:tr>
      <w:tr w:rsidR="008F50C3" w:rsidRPr="007337C6" w14:paraId="1C874F4D" w14:textId="77777777" w:rsidTr="001E2B2B">
        <w:trPr>
          <w:trHeight w:val="261"/>
        </w:trPr>
        <w:tc>
          <w:tcPr>
            <w:tcW w:w="1627" w:type="dxa"/>
            <w:tcBorders>
              <w:top w:val="nil"/>
              <w:left w:val="single" w:sz="8" w:space="0" w:color="0070C0"/>
              <w:bottom w:val="single" w:sz="8" w:space="0" w:color="0070C0"/>
              <w:right w:val="single" w:sz="8" w:space="0" w:color="0070C0"/>
            </w:tcBorders>
            <w:shd w:val="clear" w:color="auto" w:fill="auto"/>
            <w:noWrap/>
            <w:vAlign w:val="center"/>
            <w:hideMark/>
          </w:tcPr>
          <w:p w14:paraId="03A445E7" w14:textId="77777777" w:rsidR="008F50C3" w:rsidRPr="007337C6" w:rsidRDefault="008F50C3" w:rsidP="008F50C3">
            <w:pPr>
              <w:spacing w:after="0" w:line="240" w:lineRule="auto"/>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Total</w:t>
            </w:r>
          </w:p>
        </w:tc>
        <w:tc>
          <w:tcPr>
            <w:tcW w:w="728" w:type="dxa"/>
            <w:tcBorders>
              <w:top w:val="nil"/>
              <w:left w:val="nil"/>
              <w:bottom w:val="single" w:sz="8" w:space="0" w:color="0070C0"/>
              <w:right w:val="nil"/>
            </w:tcBorders>
            <w:shd w:val="clear" w:color="auto" w:fill="auto"/>
            <w:noWrap/>
            <w:vAlign w:val="bottom"/>
            <w:hideMark/>
          </w:tcPr>
          <w:p w14:paraId="501A6D42" w14:textId="77777777" w:rsidR="008F50C3" w:rsidRPr="007337C6" w:rsidRDefault="008F50C3"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0</w:t>
            </w:r>
          </w:p>
        </w:tc>
        <w:tc>
          <w:tcPr>
            <w:tcW w:w="1055" w:type="dxa"/>
            <w:tcBorders>
              <w:top w:val="nil"/>
              <w:left w:val="nil"/>
              <w:bottom w:val="single" w:sz="8" w:space="0" w:color="0070C0"/>
              <w:right w:val="nil"/>
            </w:tcBorders>
            <w:shd w:val="clear" w:color="auto" w:fill="auto"/>
            <w:noWrap/>
            <w:vAlign w:val="bottom"/>
            <w:hideMark/>
          </w:tcPr>
          <w:p w14:paraId="20DE5B9D" w14:textId="77777777" w:rsidR="008F50C3" w:rsidRPr="007337C6" w:rsidRDefault="008F50C3"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0</w:t>
            </w:r>
          </w:p>
        </w:tc>
        <w:tc>
          <w:tcPr>
            <w:tcW w:w="909" w:type="dxa"/>
            <w:tcBorders>
              <w:top w:val="nil"/>
              <w:left w:val="nil"/>
              <w:bottom w:val="single" w:sz="8" w:space="0" w:color="0070C0"/>
              <w:right w:val="nil"/>
            </w:tcBorders>
            <w:shd w:val="clear" w:color="auto" w:fill="auto"/>
            <w:noWrap/>
            <w:vAlign w:val="bottom"/>
            <w:hideMark/>
          </w:tcPr>
          <w:p w14:paraId="0D6D5953" w14:textId="77777777" w:rsidR="008F50C3" w:rsidRPr="007337C6" w:rsidRDefault="008F50C3"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0</w:t>
            </w:r>
          </w:p>
        </w:tc>
        <w:tc>
          <w:tcPr>
            <w:tcW w:w="796" w:type="dxa"/>
            <w:tcBorders>
              <w:top w:val="nil"/>
              <w:left w:val="nil"/>
              <w:bottom w:val="single" w:sz="8" w:space="0" w:color="0070C0"/>
              <w:right w:val="nil"/>
            </w:tcBorders>
            <w:shd w:val="clear" w:color="auto" w:fill="auto"/>
            <w:noWrap/>
            <w:vAlign w:val="bottom"/>
            <w:hideMark/>
          </w:tcPr>
          <w:p w14:paraId="37087CFA" w14:textId="77777777" w:rsidR="008F50C3" w:rsidRPr="007337C6" w:rsidRDefault="008F50C3"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0</w:t>
            </w:r>
          </w:p>
        </w:tc>
        <w:tc>
          <w:tcPr>
            <w:tcW w:w="795" w:type="dxa"/>
            <w:tcBorders>
              <w:top w:val="nil"/>
              <w:left w:val="single" w:sz="8" w:space="0" w:color="0070C0"/>
              <w:bottom w:val="single" w:sz="8" w:space="0" w:color="0070C0"/>
              <w:right w:val="single" w:sz="8" w:space="0" w:color="0070C0"/>
            </w:tcBorders>
            <w:shd w:val="clear" w:color="auto" w:fill="auto"/>
            <w:noWrap/>
            <w:vAlign w:val="bottom"/>
            <w:hideMark/>
          </w:tcPr>
          <w:p w14:paraId="5BAF42A8" w14:textId="77777777" w:rsidR="008F50C3" w:rsidRPr="007337C6" w:rsidRDefault="008F50C3"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0</w:t>
            </w:r>
          </w:p>
        </w:tc>
        <w:tc>
          <w:tcPr>
            <w:tcW w:w="795" w:type="dxa"/>
            <w:tcBorders>
              <w:top w:val="nil"/>
              <w:left w:val="nil"/>
              <w:bottom w:val="single" w:sz="8" w:space="0" w:color="0070C0"/>
              <w:right w:val="nil"/>
            </w:tcBorders>
            <w:shd w:val="clear" w:color="auto" w:fill="auto"/>
            <w:noWrap/>
            <w:vAlign w:val="bottom"/>
            <w:hideMark/>
          </w:tcPr>
          <w:p w14:paraId="6D9D1DF1" w14:textId="77777777" w:rsidR="008F50C3" w:rsidRPr="007337C6" w:rsidRDefault="008F50C3"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0</w:t>
            </w:r>
          </w:p>
        </w:tc>
        <w:tc>
          <w:tcPr>
            <w:tcW w:w="1055" w:type="dxa"/>
            <w:tcBorders>
              <w:top w:val="nil"/>
              <w:left w:val="nil"/>
              <w:bottom w:val="single" w:sz="8" w:space="0" w:color="0070C0"/>
              <w:right w:val="nil"/>
            </w:tcBorders>
            <w:shd w:val="clear" w:color="auto" w:fill="auto"/>
            <w:noWrap/>
            <w:vAlign w:val="bottom"/>
            <w:hideMark/>
          </w:tcPr>
          <w:p w14:paraId="3F928A81" w14:textId="77777777" w:rsidR="008F50C3" w:rsidRPr="007337C6" w:rsidRDefault="008F50C3"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0</w:t>
            </w:r>
          </w:p>
        </w:tc>
        <w:tc>
          <w:tcPr>
            <w:tcW w:w="974" w:type="dxa"/>
            <w:tcBorders>
              <w:top w:val="nil"/>
              <w:left w:val="nil"/>
              <w:bottom w:val="single" w:sz="8" w:space="0" w:color="0070C0"/>
              <w:right w:val="nil"/>
            </w:tcBorders>
            <w:shd w:val="clear" w:color="auto" w:fill="auto"/>
            <w:noWrap/>
            <w:vAlign w:val="bottom"/>
            <w:hideMark/>
          </w:tcPr>
          <w:p w14:paraId="73D85CB0" w14:textId="77777777" w:rsidR="008F50C3" w:rsidRPr="007337C6" w:rsidRDefault="008F50C3"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0</w:t>
            </w:r>
          </w:p>
        </w:tc>
        <w:tc>
          <w:tcPr>
            <w:tcW w:w="730" w:type="dxa"/>
            <w:tcBorders>
              <w:top w:val="nil"/>
              <w:left w:val="nil"/>
              <w:bottom w:val="single" w:sz="8" w:space="0" w:color="0070C0"/>
              <w:right w:val="nil"/>
            </w:tcBorders>
            <w:shd w:val="clear" w:color="auto" w:fill="auto"/>
            <w:noWrap/>
            <w:vAlign w:val="bottom"/>
            <w:hideMark/>
          </w:tcPr>
          <w:p w14:paraId="4E68C65F" w14:textId="05C3F460" w:rsidR="008F50C3" w:rsidRPr="007337C6" w:rsidRDefault="008F50C3"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5,190</w:t>
            </w:r>
          </w:p>
        </w:tc>
        <w:tc>
          <w:tcPr>
            <w:tcW w:w="795" w:type="dxa"/>
            <w:tcBorders>
              <w:top w:val="nil"/>
              <w:left w:val="single" w:sz="8" w:space="0" w:color="0070C0"/>
              <w:bottom w:val="single" w:sz="8" w:space="0" w:color="0070C0"/>
              <w:right w:val="single" w:sz="8" w:space="0" w:color="0070C0"/>
            </w:tcBorders>
            <w:shd w:val="clear" w:color="auto" w:fill="auto"/>
            <w:noWrap/>
            <w:vAlign w:val="bottom"/>
            <w:hideMark/>
          </w:tcPr>
          <w:p w14:paraId="248EFCDC" w14:textId="374ADF55" w:rsidR="008F50C3" w:rsidRPr="007337C6" w:rsidRDefault="008F50C3" w:rsidP="001E2B2B">
            <w:pPr>
              <w:spacing w:after="0" w:line="240" w:lineRule="auto"/>
              <w:jc w:val="right"/>
              <w:rPr>
                <w:rFonts w:ascii="Trebuchet MS" w:eastAsia="Times New Roman" w:hAnsi="Trebuchet MS" w:cs="Times New Roman"/>
                <w:color w:val="000000"/>
                <w:sz w:val="16"/>
                <w:szCs w:val="16"/>
                <w:lang w:eastAsia="en-GB"/>
              </w:rPr>
            </w:pPr>
            <w:r w:rsidRPr="007337C6">
              <w:rPr>
                <w:rFonts w:ascii="Trebuchet MS" w:eastAsia="Times New Roman" w:hAnsi="Trebuchet MS" w:cs="Times New Roman"/>
                <w:color w:val="000000"/>
                <w:sz w:val="16"/>
                <w:szCs w:val="16"/>
                <w:lang w:eastAsia="en-GB"/>
              </w:rPr>
              <w:t>5,190</w:t>
            </w:r>
          </w:p>
        </w:tc>
      </w:tr>
    </w:tbl>
    <w:p w14:paraId="74FAD5EC" w14:textId="0DFA0C7A" w:rsidR="00687D1C" w:rsidRPr="007337C6" w:rsidRDefault="0061459C" w:rsidP="006A07D6">
      <w:pPr>
        <w:rPr>
          <w:rFonts w:ascii="Trebuchet MS" w:hAnsi="Trebuchet MS"/>
          <w:sz w:val="20"/>
          <w:szCs w:val="20"/>
        </w:rPr>
      </w:pPr>
      <w:r w:rsidRPr="007337C6">
        <w:rPr>
          <w:rFonts w:ascii="Trebuchet MS" w:hAnsi="Trebuchet MS"/>
          <w:sz w:val="20"/>
          <w:szCs w:val="20"/>
        </w:rPr>
        <w:fldChar w:fldCharType="end"/>
      </w:r>
    </w:p>
    <w:p w14:paraId="4994ABD7" w14:textId="452409D9" w:rsidR="00140DDE" w:rsidRPr="007337C6" w:rsidRDefault="00A2723D" w:rsidP="00B2600C">
      <w:pPr>
        <w:rPr>
          <w:rFonts w:ascii="Trebuchet MS" w:hAnsi="Trebuchet MS"/>
          <w:sz w:val="20"/>
          <w:szCs w:val="20"/>
        </w:rPr>
      </w:pPr>
      <w:r w:rsidRPr="007337C6">
        <w:rPr>
          <w:rFonts w:ascii="Trebuchet MS" w:hAnsi="Trebuchet MS"/>
          <w:sz w:val="20"/>
          <w:szCs w:val="20"/>
        </w:rPr>
        <w:lastRenderedPageBreak/>
        <w:t xml:space="preserve">The </w:t>
      </w:r>
      <w:r w:rsidR="0061459C" w:rsidRPr="007337C6">
        <w:rPr>
          <w:rFonts w:ascii="Trebuchet MS" w:hAnsi="Trebuchet MS"/>
          <w:sz w:val="20"/>
          <w:szCs w:val="20"/>
        </w:rPr>
        <w:t>negative Premium Provision of AGIL’s UK portfolio is driven by the increased contract boundary span on a major UK scheme and by the relatively low loss ratios on some UK s</w:t>
      </w:r>
      <w:r w:rsidR="000A126D" w:rsidRPr="007337C6">
        <w:rPr>
          <w:rFonts w:ascii="Trebuchet MS" w:hAnsi="Trebuchet MS"/>
          <w:sz w:val="20"/>
          <w:szCs w:val="20"/>
        </w:rPr>
        <w:t>chemes</w:t>
      </w:r>
      <w:r w:rsidRPr="007337C6">
        <w:rPr>
          <w:rFonts w:ascii="Trebuchet MS" w:hAnsi="Trebuchet MS"/>
          <w:sz w:val="20"/>
          <w:szCs w:val="20"/>
        </w:rPr>
        <w:t xml:space="preserve">. </w:t>
      </w:r>
    </w:p>
    <w:p w14:paraId="2ACF6F3E" w14:textId="77777777" w:rsidR="00DF5103" w:rsidRPr="006C51A9" w:rsidRDefault="00DF5103" w:rsidP="00DF5103">
      <w:pPr>
        <w:rPr>
          <w:rFonts w:ascii="Trebuchet MS" w:hAnsi="Trebuchet MS"/>
          <w:sz w:val="20"/>
          <w:szCs w:val="20"/>
        </w:rPr>
      </w:pPr>
      <w:r>
        <w:rPr>
          <w:rFonts w:ascii="Trebuchet MS" w:hAnsi="Trebuchet MS"/>
          <w:sz w:val="20"/>
          <w:szCs w:val="20"/>
        </w:rPr>
        <w:t xml:space="preserve">LGI recaptured the quota share in July 2020 for non-UK business. This is reflected in the ceded </w:t>
      </w:r>
      <w:proofErr w:type="spellStart"/>
      <w:r>
        <w:rPr>
          <w:rFonts w:ascii="Trebuchet MS" w:hAnsi="Trebuchet MS"/>
          <w:sz w:val="20"/>
          <w:szCs w:val="20"/>
        </w:rPr>
        <w:t>TPs</w:t>
      </w:r>
      <w:proofErr w:type="spellEnd"/>
      <w:r>
        <w:rPr>
          <w:rFonts w:ascii="Trebuchet MS" w:hAnsi="Trebuchet MS"/>
          <w:sz w:val="20"/>
          <w:szCs w:val="20"/>
        </w:rPr>
        <w:t xml:space="preserve"> where the quota share only applies to UK liabilities in the Ceded </w:t>
      </w:r>
      <w:proofErr w:type="spellStart"/>
      <w:r>
        <w:rPr>
          <w:rFonts w:ascii="Trebuchet MS" w:hAnsi="Trebuchet MS"/>
          <w:sz w:val="20"/>
          <w:szCs w:val="20"/>
        </w:rPr>
        <w:t>TP</w:t>
      </w:r>
      <w:proofErr w:type="spellEnd"/>
      <w:r>
        <w:rPr>
          <w:rFonts w:ascii="Trebuchet MS" w:hAnsi="Trebuchet MS"/>
          <w:sz w:val="20"/>
          <w:szCs w:val="20"/>
        </w:rPr>
        <w:t xml:space="preserve"> tables above.</w:t>
      </w:r>
    </w:p>
    <w:p w14:paraId="152EDDD5" w14:textId="65BEC1E3" w:rsidR="002103E5" w:rsidRPr="007337C6" w:rsidRDefault="002103E5" w:rsidP="00B65495">
      <w:pPr>
        <w:pStyle w:val="Heading1"/>
        <w:numPr>
          <w:ilvl w:val="1"/>
          <w:numId w:val="1"/>
        </w:numPr>
        <w:rPr>
          <w:color w:val="0070C0"/>
        </w:rPr>
      </w:pPr>
      <w:bookmarkStart w:id="82" w:name="_Toc52451884"/>
      <w:r w:rsidRPr="007337C6">
        <w:rPr>
          <w:color w:val="0070C0"/>
        </w:rPr>
        <w:t>Reinsurance</w:t>
      </w:r>
      <w:bookmarkEnd w:id="82"/>
    </w:p>
    <w:p w14:paraId="30AB52F9" w14:textId="41661482" w:rsidR="002103E5" w:rsidRPr="007337C6" w:rsidRDefault="002103E5" w:rsidP="000846C4">
      <w:pPr>
        <w:rPr>
          <w:rFonts w:ascii="Trebuchet MS" w:hAnsi="Trebuchet MS"/>
          <w:highlight w:val="cyan"/>
        </w:rPr>
      </w:pPr>
    </w:p>
    <w:p w14:paraId="2246B396" w14:textId="77777777" w:rsidR="00B82A9C" w:rsidRPr="007337C6" w:rsidRDefault="00B82A9C" w:rsidP="00014588">
      <w:pPr>
        <w:jc w:val="both"/>
        <w:rPr>
          <w:rFonts w:ascii="Trebuchet MS" w:hAnsi="Trebuchet MS"/>
          <w:sz w:val="20"/>
          <w:szCs w:val="20"/>
        </w:rPr>
      </w:pPr>
      <w:r w:rsidRPr="007337C6">
        <w:rPr>
          <w:rFonts w:ascii="Trebuchet MS" w:hAnsi="Trebuchet MS"/>
          <w:sz w:val="20"/>
          <w:szCs w:val="20"/>
        </w:rPr>
        <w:t xml:space="preserve">Current key reinsurance relationships </w:t>
      </w:r>
    </w:p>
    <w:p w14:paraId="0D6457D0" w14:textId="59909131" w:rsidR="00B82A9C" w:rsidRPr="007337C6" w:rsidRDefault="00DA5B79" w:rsidP="00014588">
      <w:pPr>
        <w:pStyle w:val="ListParagraph"/>
        <w:numPr>
          <w:ilvl w:val="0"/>
          <w:numId w:val="49"/>
        </w:numPr>
        <w:jc w:val="both"/>
        <w:rPr>
          <w:rFonts w:ascii="Trebuchet MS" w:hAnsi="Trebuchet MS"/>
          <w:sz w:val="20"/>
          <w:szCs w:val="20"/>
        </w:rPr>
      </w:pPr>
      <w:bookmarkStart w:id="83" w:name="_Toc521519314"/>
      <w:bookmarkStart w:id="84" w:name="_Toc521598502"/>
      <w:bookmarkStart w:id="85" w:name="_Toc521598625"/>
      <w:bookmarkStart w:id="86" w:name="_Toc521662952"/>
      <w:r w:rsidRPr="007337C6">
        <w:rPr>
          <w:rFonts w:ascii="Trebuchet MS" w:hAnsi="Trebuchet MS"/>
          <w:sz w:val="20"/>
          <w:szCs w:val="20"/>
        </w:rPr>
        <w:t xml:space="preserve">Intra Group </w:t>
      </w:r>
      <w:r w:rsidR="00B82A9C" w:rsidRPr="007337C6">
        <w:rPr>
          <w:rFonts w:ascii="Trebuchet MS" w:hAnsi="Trebuchet MS"/>
          <w:sz w:val="20"/>
          <w:szCs w:val="20"/>
        </w:rPr>
        <w:t>- Quota Share Reinsurance</w:t>
      </w:r>
      <w:bookmarkEnd w:id="83"/>
      <w:bookmarkEnd w:id="84"/>
      <w:bookmarkEnd w:id="85"/>
      <w:bookmarkEnd w:id="86"/>
    </w:p>
    <w:p w14:paraId="6C5BF9A0" w14:textId="46B3E29F" w:rsidR="00353F28" w:rsidRPr="007337C6" w:rsidRDefault="00A745BE" w:rsidP="00B82A9C">
      <w:pPr>
        <w:jc w:val="both"/>
        <w:rPr>
          <w:rFonts w:ascii="Trebuchet MS" w:hAnsi="Trebuchet MS"/>
          <w:sz w:val="20"/>
          <w:szCs w:val="20"/>
        </w:rPr>
      </w:pPr>
      <w:r w:rsidRPr="007337C6">
        <w:rPr>
          <w:rFonts w:ascii="Trebuchet MS" w:hAnsi="Trebuchet MS"/>
          <w:sz w:val="20"/>
          <w:szCs w:val="20"/>
        </w:rPr>
        <w:t>The Quota Share intragroup reinsurance treaty has been recaptured for the EU policies</w:t>
      </w:r>
      <w:r w:rsidR="00026148" w:rsidRPr="007337C6">
        <w:rPr>
          <w:rFonts w:ascii="Trebuchet MS" w:hAnsi="Trebuchet MS"/>
          <w:sz w:val="20"/>
          <w:szCs w:val="20"/>
        </w:rPr>
        <w:t xml:space="preserve"> during July 20</w:t>
      </w:r>
      <w:r w:rsidR="008F3FE8" w:rsidRPr="007337C6">
        <w:rPr>
          <w:rFonts w:ascii="Trebuchet MS" w:hAnsi="Trebuchet MS"/>
          <w:sz w:val="20"/>
          <w:szCs w:val="20"/>
        </w:rPr>
        <w:t>20</w:t>
      </w:r>
      <w:r w:rsidRPr="007337C6">
        <w:rPr>
          <w:rFonts w:ascii="Trebuchet MS" w:hAnsi="Trebuchet MS"/>
          <w:sz w:val="20"/>
          <w:szCs w:val="20"/>
        </w:rPr>
        <w:t>. The reinsurer has paid LGI £</w:t>
      </w:r>
      <w:r w:rsidR="006759C2" w:rsidRPr="007337C6">
        <w:rPr>
          <w:rFonts w:ascii="Trebuchet MS" w:hAnsi="Trebuchet MS"/>
          <w:sz w:val="20"/>
          <w:szCs w:val="20"/>
        </w:rPr>
        <w:t>12.5</w:t>
      </w:r>
      <w:r w:rsidRPr="007337C6">
        <w:rPr>
          <w:rFonts w:ascii="Trebuchet MS" w:hAnsi="Trebuchet MS"/>
          <w:sz w:val="20"/>
          <w:szCs w:val="20"/>
        </w:rPr>
        <w:t xml:space="preserve">m </w:t>
      </w:r>
      <w:r w:rsidR="006759C2" w:rsidRPr="007337C6">
        <w:rPr>
          <w:rFonts w:ascii="Trebuchet MS" w:hAnsi="Trebuchet MS"/>
          <w:sz w:val="20"/>
          <w:szCs w:val="20"/>
        </w:rPr>
        <w:t xml:space="preserve">on 1 July 2020 </w:t>
      </w:r>
      <w:r w:rsidRPr="007337C6">
        <w:rPr>
          <w:rFonts w:ascii="Trebuchet MS" w:hAnsi="Trebuchet MS"/>
          <w:sz w:val="20"/>
          <w:szCs w:val="20"/>
        </w:rPr>
        <w:t>to stop providing the 20% quota share reinsurance to the EU (transferring) policies. However, the Quota Share is still in place for the Non-EU (Non-Transferring) policies of LGI.</w:t>
      </w:r>
      <w:r w:rsidR="006759C2" w:rsidRPr="007337C6">
        <w:rPr>
          <w:rFonts w:ascii="Trebuchet MS" w:hAnsi="Trebuchet MS"/>
          <w:sz w:val="20"/>
          <w:szCs w:val="20"/>
        </w:rPr>
        <w:t xml:space="preserve"> The £12.5m ha</w:t>
      </w:r>
      <w:r w:rsidR="00287E7E">
        <w:rPr>
          <w:rFonts w:ascii="Trebuchet MS" w:hAnsi="Trebuchet MS"/>
          <w:sz w:val="20"/>
          <w:szCs w:val="20"/>
        </w:rPr>
        <w:t>s</w:t>
      </w:r>
      <w:r w:rsidR="006759C2" w:rsidRPr="007337C6">
        <w:rPr>
          <w:rFonts w:ascii="Trebuchet MS" w:hAnsi="Trebuchet MS"/>
          <w:sz w:val="20"/>
          <w:szCs w:val="20"/>
        </w:rPr>
        <w:t xml:space="preserve"> been paid </w:t>
      </w:r>
      <w:r w:rsidR="00135333">
        <w:rPr>
          <w:rFonts w:ascii="Trebuchet MS" w:hAnsi="Trebuchet MS"/>
          <w:sz w:val="20"/>
          <w:szCs w:val="20"/>
        </w:rPr>
        <w:t xml:space="preserve">to LGI by the reinsurer </w:t>
      </w:r>
      <w:r w:rsidR="003F7FD3" w:rsidRPr="007337C6">
        <w:rPr>
          <w:rFonts w:ascii="Trebuchet MS" w:hAnsi="Trebuchet MS"/>
          <w:sz w:val="20"/>
          <w:szCs w:val="20"/>
        </w:rPr>
        <w:t xml:space="preserve">mainly in </w:t>
      </w:r>
      <w:r w:rsidR="006759C2" w:rsidRPr="007337C6">
        <w:rPr>
          <w:rFonts w:ascii="Trebuchet MS" w:hAnsi="Trebuchet MS"/>
          <w:sz w:val="20"/>
          <w:szCs w:val="20"/>
        </w:rPr>
        <w:t>bonds and</w:t>
      </w:r>
      <w:r w:rsidR="003F7FD3" w:rsidRPr="007337C6">
        <w:rPr>
          <w:rFonts w:ascii="Trebuchet MS" w:hAnsi="Trebuchet MS"/>
          <w:sz w:val="20"/>
          <w:szCs w:val="20"/>
        </w:rPr>
        <w:t xml:space="preserve"> some</w:t>
      </w:r>
      <w:r w:rsidR="006759C2" w:rsidRPr="007337C6">
        <w:rPr>
          <w:rFonts w:ascii="Trebuchet MS" w:hAnsi="Trebuchet MS"/>
          <w:sz w:val="20"/>
          <w:szCs w:val="20"/>
        </w:rPr>
        <w:t xml:space="preserve"> cash.</w:t>
      </w:r>
    </w:p>
    <w:p w14:paraId="052D6562" w14:textId="2D730B94" w:rsidR="00353F28" w:rsidRPr="007337C6" w:rsidRDefault="00353F28" w:rsidP="00014588">
      <w:pPr>
        <w:pStyle w:val="ListParagraph"/>
        <w:numPr>
          <w:ilvl w:val="0"/>
          <w:numId w:val="49"/>
        </w:numPr>
        <w:jc w:val="both"/>
        <w:rPr>
          <w:rFonts w:ascii="Trebuchet MS" w:hAnsi="Trebuchet MS"/>
          <w:sz w:val="20"/>
          <w:szCs w:val="20"/>
        </w:rPr>
      </w:pPr>
      <w:bookmarkStart w:id="87" w:name="_Toc521519315"/>
      <w:bookmarkStart w:id="88" w:name="_Toc521598503"/>
      <w:bookmarkStart w:id="89" w:name="_Toc521598626"/>
      <w:bookmarkStart w:id="90" w:name="_Toc521662953"/>
      <w:r w:rsidRPr="007337C6">
        <w:rPr>
          <w:rFonts w:ascii="Trebuchet MS" w:hAnsi="Trebuchet MS"/>
          <w:sz w:val="20"/>
          <w:szCs w:val="20"/>
        </w:rPr>
        <w:t>Reinsurance with Individual Clients</w:t>
      </w:r>
      <w:bookmarkEnd w:id="87"/>
      <w:bookmarkEnd w:id="88"/>
      <w:bookmarkEnd w:id="89"/>
      <w:bookmarkEnd w:id="90"/>
    </w:p>
    <w:p w14:paraId="661FC478" w14:textId="51783DEA" w:rsidR="00B5481E" w:rsidRPr="007337C6" w:rsidRDefault="007A3CD6" w:rsidP="007A3CD6">
      <w:pPr>
        <w:jc w:val="both"/>
        <w:rPr>
          <w:rFonts w:ascii="Trebuchet MS" w:hAnsi="Trebuchet MS"/>
          <w:sz w:val="20"/>
          <w:szCs w:val="20"/>
        </w:rPr>
      </w:pPr>
      <w:r w:rsidRPr="007337C6">
        <w:rPr>
          <w:rFonts w:ascii="Trebuchet MS" w:hAnsi="Trebuchet MS"/>
          <w:sz w:val="20"/>
          <w:szCs w:val="20"/>
        </w:rPr>
        <w:t>All client specific r</w:t>
      </w:r>
      <w:r w:rsidR="00353F28" w:rsidRPr="007337C6">
        <w:rPr>
          <w:rFonts w:ascii="Trebuchet MS" w:hAnsi="Trebuchet MS"/>
          <w:sz w:val="20"/>
          <w:szCs w:val="20"/>
        </w:rPr>
        <w:t>einsurance</w:t>
      </w:r>
      <w:r w:rsidRPr="007337C6">
        <w:rPr>
          <w:rFonts w:ascii="Trebuchet MS" w:hAnsi="Trebuchet MS"/>
          <w:sz w:val="20"/>
          <w:szCs w:val="20"/>
        </w:rPr>
        <w:t xml:space="preserve"> arrangements are currently under review in a process to novate and transfer the reinsurance arrangement to AEI. The novation process is going according to plan. Notifications have been sent to each individual reinsurer and initial feedback is positive. There is no single objection to date. The process of novation is </w:t>
      </w:r>
      <w:r w:rsidR="00E3457D">
        <w:rPr>
          <w:rFonts w:ascii="Trebuchet MS" w:hAnsi="Trebuchet MS"/>
          <w:sz w:val="20"/>
          <w:szCs w:val="20"/>
        </w:rPr>
        <w:t xml:space="preserve">almost completed and is </w:t>
      </w:r>
      <w:r w:rsidRPr="007337C6">
        <w:rPr>
          <w:rFonts w:ascii="Trebuchet MS" w:hAnsi="Trebuchet MS"/>
          <w:sz w:val="20"/>
          <w:szCs w:val="20"/>
        </w:rPr>
        <w:t xml:space="preserve">expected to be </w:t>
      </w:r>
      <w:r w:rsidR="00E3457D">
        <w:rPr>
          <w:rFonts w:ascii="Trebuchet MS" w:hAnsi="Trebuchet MS"/>
          <w:sz w:val="20"/>
          <w:szCs w:val="20"/>
        </w:rPr>
        <w:t xml:space="preserve">fully </w:t>
      </w:r>
      <w:r w:rsidRPr="007337C6">
        <w:rPr>
          <w:rFonts w:ascii="Trebuchet MS" w:hAnsi="Trebuchet MS"/>
          <w:sz w:val="20"/>
          <w:szCs w:val="20"/>
        </w:rPr>
        <w:t>completed well before the Transfer date.</w:t>
      </w:r>
      <w:r w:rsidR="00353F28" w:rsidRPr="007337C6">
        <w:rPr>
          <w:rFonts w:ascii="Trebuchet MS" w:hAnsi="Trebuchet MS"/>
          <w:sz w:val="20"/>
          <w:szCs w:val="20"/>
        </w:rPr>
        <w:t xml:space="preserve"> </w:t>
      </w:r>
      <w:r w:rsidR="00E3457D">
        <w:rPr>
          <w:rFonts w:ascii="Trebuchet MS" w:hAnsi="Trebuchet MS"/>
          <w:sz w:val="20"/>
          <w:szCs w:val="20"/>
        </w:rPr>
        <w:t>Note that even if the novation process is not fully completed before the Transfer</w:t>
      </w:r>
      <w:r w:rsidR="00C527D2">
        <w:rPr>
          <w:rFonts w:ascii="Trebuchet MS" w:hAnsi="Trebuchet MS"/>
          <w:sz w:val="20"/>
          <w:szCs w:val="20"/>
        </w:rPr>
        <w:t xml:space="preserve"> </w:t>
      </w:r>
      <w:r w:rsidR="00E3457D">
        <w:rPr>
          <w:rFonts w:ascii="Trebuchet MS" w:hAnsi="Trebuchet MS"/>
          <w:sz w:val="20"/>
          <w:szCs w:val="20"/>
        </w:rPr>
        <w:t>there will not be any delay on the Transfer, the novation process will continue after the Transfer.</w:t>
      </w:r>
      <w:r w:rsidR="00C527D2">
        <w:rPr>
          <w:rFonts w:ascii="Trebuchet MS" w:hAnsi="Trebuchet MS"/>
          <w:sz w:val="20"/>
          <w:szCs w:val="20"/>
        </w:rPr>
        <w:t xml:space="preserve"> </w:t>
      </w:r>
      <w:r w:rsidR="00C527D2" w:rsidRPr="00E910E7">
        <w:rPr>
          <w:rFonts w:ascii="Trebuchet MS" w:hAnsi="Trebuchet MS"/>
          <w:sz w:val="20"/>
          <w:szCs w:val="20"/>
        </w:rPr>
        <w:t>The policyholders transfer process is not dependent on novation of reinsurance contracts.</w:t>
      </w:r>
    </w:p>
    <w:p w14:paraId="7E9EBC64" w14:textId="4BA77792" w:rsidR="00BD7D63" w:rsidRPr="007337C6" w:rsidRDefault="00F270E5" w:rsidP="00B65495">
      <w:pPr>
        <w:pStyle w:val="Heading1"/>
        <w:numPr>
          <w:ilvl w:val="1"/>
          <w:numId w:val="1"/>
        </w:numPr>
        <w:rPr>
          <w:color w:val="0070C0"/>
        </w:rPr>
      </w:pPr>
      <w:bookmarkStart w:id="91" w:name="_Toc52451885"/>
      <w:r w:rsidRPr="007337C6">
        <w:rPr>
          <w:color w:val="0070C0"/>
        </w:rPr>
        <w:t xml:space="preserve">Assets </w:t>
      </w:r>
      <w:r w:rsidR="00BD7D63" w:rsidRPr="007337C6">
        <w:rPr>
          <w:color w:val="0070C0"/>
        </w:rPr>
        <w:t>to be transferred</w:t>
      </w:r>
      <w:bookmarkEnd w:id="91"/>
    </w:p>
    <w:p w14:paraId="0853B96C" w14:textId="407ADD7C" w:rsidR="00BD7D63" w:rsidRPr="007337C6" w:rsidRDefault="00BD7D63" w:rsidP="000846C4">
      <w:pPr>
        <w:pStyle w:val="Heading2"/>
      </w:pPr>
    </w:p>
    <w:p w14:paraId="24795458" w14:textId="7E09CF3D" w:rsidR="00FD7D3F" w:rsidRPr="007337C6" w:rsidRDefault="00287E7E" w:rsidP="00866EF4">
      <w:pPr>
        <w:rPr>
          <w:rFonts w:ascii="Trebuchet MS" w:hAnsi="Trebuchet MS"/>
          <w:sz w:val="20"/>
          <w:szCs w:val="20"/>
        </w:rPr>
      </w:pPr>
      <w:r>
        <w:rPr>
          <w:rFonts w:ascii="Trebuchet MS" w:hAnsi="Trebuchet MS"/>
          <w:sz w:val="20"/>
          <w:szCs w:val="20"/>
        </w:rPr>
        <w:t>As with</w:t>
      </w:r>
      <w:r w:rsidR="00F36B5B" w:rsidRPr="007337C6">
        <w:rPr>
          <w:rFonts w:ascii="Trebuchet MS" w:hAnsi="Trebuchet MS"/>
          <w:sz w:val="20"/>
          <w:szCs w:val="20"/>
        </w:rPr>
        <w:t xml:space="preserve"> the initial report, a</w:t>
      </w:r>
      <w:r w:rsidR="00B2600C" w:rsidRPr="007337C6">
        <w:rPr>
          <w:rFonts w:ascii="Trebuchet MS" w:hAnsi="Trebuchet MS"/>
          <w:sz w:val="20"/>
          <w:szCs w:val="20"/>
        </w:rPr>
        <w:t xml:space="preserve">t </w:t>
      </w:r>
      <w:r w:rsidR="00866EF4" w:rsidRPr="007337C6">
        <w:rPr>
          <w:rFonts w:ascii="Trebuchet MS" w:hAnsi="Trebuchet MS"/>
          <w:sz w:val="20"/>
          <w:szCs w:val="20"/>
        </w:rPr>
        <w:t xml:space="preserve">this stage, only the </w:t>
      </w:r>
      <w:r w:rsidR="00640163" w:rsidRPr="007337C6">
        <w:rPr>
          <w:rFonts w:ascii="Trebuchet MS" w:hAnsi="Trebuchet MS"/>
          <w:sz w:val="20"/>
          <w:szCs w:val="20"/>
        </w:rPr>
        <w:t>mo</w:t>
      </w:r>
      <w:r w:rsidR="00A931A7" w:rsidRPr="007337C6">
        <w:rPr>
          <w:rFonts w:ascii="Trebuchet MS" w:hAnsi="Trebuchet MS"/>
          <w:sz w:val="20"/>
          <w:szCs w:val="20"/>
        </w:rPr>
        <w:t>net</w:t>
      </w:r>
      <w:r w:rsidR="00640163" w:rsidRPr="007337C6">
        <w:rPr>
          <w:rFonts w:ascii="Trebuchet MS" w:hAnsi="Trebuchet MS"/>
          <w:sz w:val="20"/>
          <w:szCs w:val="20"/>
        </w:rPr>
        <w:t xml:space="preserve">ary </w:t>
      </w:r>
      <w:r w:rsidR="00866EF4" w:rsidRPr="007337C6">
        <w:rPr>
          <w:rFonts w:ascii="Trebuchet MS" w:hAnsi="Trebuchet MS"/>
          <w:sz w:val="20"/>
          <w:szCs w:val="20"/>
        </w:rPr>
        <w:t xml:space="preserve">value of the assets to be transferred </w:t>
      </w:r>
      <w:r w:rsidR="00640163" w:rsidRPr="007337C6">
        <w:rPr>
          <w:rFonts w:ascii="Trebuchet MS" w:hAnsi="Trebuchet MS"/>
          <w:sz w:val="20"/>
          <w:szCs w:val="20"/>
        </w:rPr>
        <w:t xml:space="preserve">to AEI </w:t>
      </w:r>
      <w:r w:rsidR="00866EF4" w:rsidRPr="007337C6">
        <w:rPr>
          <w:rFonts w:ascii="Trebuchet MS" w:hAnsi="Trebuchet MS"/>
          <w:sz w:val="20"/>
          <w:szCs w:val="20"/>
        </w:rPr>
        <w:t xml:space="preserve">is forecasted. </w:t>
      </w:r>
      <w:r w:rsidR="00F927F3" w:rsidRPr="007337C6">
        <w:rPr>
          <w:rFonts w:ascii="Trebuchet MS" w:hAnsi="Trebuchet MS"/>
          <w:sz w:val="20"/>
          <w:szCs w:val="20"/>
        </w:rPr>
        <w:t>However, at</w:t>
      </w:r>
      <w:r w:rsidR="00FD7D3F" w:rsidRPr="007337C6">
        <w:rPr>
          <w:rFonts w:ascii="Trebuchet MS" w:hAnsi="Trebuchet MS"/>
          <w:sz w:val="20"/>
          <w:szCs w:val="20"/>
        </w:rPr>
        <w:t xml:space="preserve"> present the view is for AGIL </w:t>
      </w:r>
      <w:r w:rsidR="00C407B1" w:rsidRPr="007337C6">
        <w:rPr>
          <w:rFonts w:ascii="Trebuchet MS" w:hAnsi="Trebuchet MS"/>
          <w:sz w:val="20"/>
          <w:szCs w:val="20"/>
        </w:rPr>
        <w:t>the Transfer</w:t>
      </w:r>
      <w:r w:rsidR="00FD7D3F" w:rsidRPr="007337C6">
        <w:rPr>
          <w:rFonts w:ascii="Trebuchet MS" w:hAnsi="Trebuchet MS"/>
          <w:sz w:val="20"/>
          <w:szCs w:val="20"/>
        </w:rPr>
        <w:t xml:space="preserve"> should be of </w:t>
      </w:r>
      <w:r w:rsidR="00E75748" w:rsidRPr="007337C6">
        <w:rPr>
          <w:rFonts w:ascii="Trebuchet MS" w:hAnsi="Trebuchet MS"/>
          <w:sz w:val="20"/>
          <w:szCs w:val="20"/>
        </w:rPr>
        <w:t xml:space="preserve">mainly </w:t>
      </w:r>
      <w:r w:rsidR="004E6E0C" w:rsidRPr="007337C6">
        <w:rPr>
          <w:rFonts w:ascii="Trebuchet MS" w:hAnsi="Trebuchet MS"/>
          <w:sz w:val="20"/>
          <w:szCs w:val="20"/>
        </w:rPr>
        <w:t xml:space="preserve">assets held by Aberdeen </w:t>
      </w:r>
      <w:r w:rsidR="00F578AA" w:rsidRPr="007337C6">
        <w:rPr>
          <w:rFonts w:ascii="Trebuchet MS" w:hAnsi="Trebuchet MS"/>
          <w:sz w:val="20"/>
          <w:szCs w:val="20"/>
        </w:rPr>
        <w:t>A</w:t>
      </w:r>
      <w:r w:rsidR="004E6E0C" w:rsidRPr="007337C6">
        <w:rPr>
          <w:rFonts w:ascii="Trebuchet MS" w:hAnsi="Trebuchet MS"/>
          <w:sz w:val="20"/>
          <w:szCs w:val="20"/>
        </w:rPr>
        <w:t xml:space="preserve">sset </w:t>
      </w:r>
      <w:r w:rsidR="00F578AA" w:rsidRPr="007337C6">
        <w:rPr>
          <w:rFonts w:ascii="Trebuchet MS" w:hAnsi="Trebuchet MS"/>
          <w:sz w:val="20"/>
          <w:szCs w:val="20"/>
        </w:rPr>
        <w:t>M</w:t>
      </w:r>
      <w:r w:rsidR="004E6E0C" w:rsidRPr="007337C6">
        <w:rPr>
          <w:rFonts w:ascii="Trebuchet MS" w:hAnsi="Trebuchet MS"/>
          <w:sz w:val="20"/>
          <w:szCs w:val="20"/>
        </w:rPr>
        <w:t xml:space="preserve">anagement </w:t>
      </w:r>
      <w:r w:rsidR="00FD7D3F" w:rsidRPr="007337C6">
        <w:rPr>
          <w:rFonts w:ascii="Trebuchet MS" w:hAnsi="Trebuchet MS"/>
          <w:sz w:val="20"/>
          <w:szCs w:val="20"/>
        </w:rPr>
        <w:t>and for LGI, it will be bonds held by Blackrock.</w:t>
      </w:r>
      <w:r w:rsidR="009B05D9" w:rsidRPr="007337C6">
        <w:rPr>
          <w:rFonts w:ascii="Trebuchet MS" w:hAnsi="Trebuchet MS"/>
          <w:sz w:val="20"/>
          <w:szCs w:val="20"/>
        </w:rPr>
        <w:t xml:space="preserve"> </w:t>
      </w:r>
    </w:p>
    <w:p w14:paraId="41B39EA7" w14:textId="0A4620B8" w:rsidR="00EF5FD1" w:rsidRPr="007337C6" w:rsidRDefault="00701068" w:rsidP="00866EF4">
      <w:pPr>
        <w:rPr>
          <w:rFonts w:ascii="Trebuchet MS" w:hAnsi="Trebuchet MS"/>
          <w:sz w:val="20"/>
          <w:szCs w:val="20"/>
        </w:rPr>
      </w:pPr>
      <w:r w:rsidRPr="007337C6">
        <w:rPr>
          <w:rFonts w:ascii="Trebuchet MS" w:hAnsi="Trebuchet MS"/>
          <w:sz w:val="20"/>
          <w:szCs w:val="20"/>
        </w:rPr>
        <w:t>A</w:t>
      </w:r>
      <w:r w:rsidR="0095520D" w:rsidRPr="007337C6">
        <w:rPr>
          <w:rFonts w:ascii="Trebuchet MS" w:hAnsi="Trebuchet MS"/>
          <w:sz w:val="20"/>
          <w:szCs w:val="20"/>
        </w:rPr>
        <w:t>G</w:t>
      </w:r>
      <w:r w:rsidR="00F927F3" w:rsidRPr="007337C6">
        <w:rPr>
          <w:rFonts w:ascii="Trebuchet MS" w:hAnsi="Trebuchet MS"/>
          <w:sz w:val="20"/>
          <w:szCs w:val="20"/>
        </w:rPr>
        <w:t>IL and LGI</w:t>
      </w:r>
      <w:r w:rsidRPr="007337C6">
        <w:rPr>
          <w:rFonts w:ascii="Trebuchet MS" w:hAnsi="Trebuchet MS"/>
          <w:sz w:val="20"/>
          <w:szCs w:val="20"/>
        </w:rPr>
        <w:t xml:space="preserve"> maintain an asset and liability management whereby the duration of assets and the duration of liabilities are matched, and this will be taken into consideration when moving assets and liabilities during </w:t>
      </w:r>
      <w:r w:rsidR="00C407B1" w:rsidRPr="007337C6">
        <w:rPr>
          <w:rFonts w:ascii="Trebuchet MS" w:hAnsi="Trebuchet MS"/>
          <w:sz w:val="20"/>
          <w:szCs w:val="20"/>
        </w:rPr>
        <w:t>the Transfer</w:t>
      </w:r>
      <w:r w:rsidR="00F927F3" w:rsidRPr="007337C6">
        <w:rPr>
          <w:rFonts w:ascii="Trebuchet MS" w:hAnsi="Trebuchet MS"/>
          <w:sz w:val="20"/>
          <w:szCs w:val="20"/>
        </w:rPr>
        <w:t xml:space="preserve"> so that the assets and liabilities of AEI </w:t>
      </w:r>
      <w:r w:rsidR="007B0679" w:rsidRPr="007337C6">
        <w:rPr>
          <w:rFonts w:ascii="Trebuchet MS" w:hAnsi="Trebuchet MS"/>
          <w:sz w:val="20"/>
          <w:szCs w:val="20"/>
        </w:rPr>
        <w:t>post-</w:t>
      </w:r>
      <w:r w:rsidR="00DD51C1" w:rsidRPr="007337C6">
        <w:rPr>
          <w:rFonts w:ascii="Trebuchet MS" w:hAnsi="Trebuchet MS"/>
          <w:sz w:val="20"/>
          <w:szCs w:val="20"/>
        </w:rPr>
        <w:t xml:space="preserve">Transfer </w:t>
      </w:r>
      <w:r w:rsidR="00F927F3" w:rsidRPr="007337C6">
        <w:rPr>
          <w:rFonts w:ascii="Trebuchet MS" w:hAnsi="Trebuchet MS"/>
          <w:sz w:val="20"/>
          <w:szCs w:val="20"/>
        </w:rPr>
        <w:t>are matched in duration.</w:t>
      </w:r>
      <w:r w:rsidRPr="007337C6">
        <w:rPr>
          <w:rFonts w:ascii="Trebuchet MS" w:hAnsi="Trebuchet MS"/>
          <w:sz w:val="20"/>
          <w:szCs w:val="20"/>
        </w:rPr>
        <w:t xml:space="preserve"> </w:t>
      </w:r>
      <w:r w:rsidR="004E6E0C" w:rsidRPr="007337C6">
        <w:rPr>
          <w:rFonts w:ascii="Trebuchet MS" w:hAnsi="Trebuchet MS"/>
          <w:sz w:val="20"/>
          <w:szCs w:val="20"/>
        </w:rPr>
        <w:t xml:space="preserve">AGIL has short term liabilities and assets while the liabilities of LGI are of a relatively longer term, so are the assets. </w:t>
      </w:r>
      <w:r w:rsidR="00866EF4" w:rsidRPr="007337C6">
        <w:rPr>
          <w:rFonts w:ascii="Trebuchet MS" w:hAnsi="Trebuchet MS"/>
          <w:sz w:val="20"/>
          <w:szCs w:val="20"/>
        </w:rPr>
        <w:t xml:space="preserve">The investment strategy of </w:t>
      </w:r>
      <w:r w:rsidR="0095520D" w:rsidRPr="007337C6">
        <w:rPr>
          <w:rFonts w:ascii="Trebuchet MS" w:hAnsi="Trebuchet MS"/>
          <w:sz w:val="20"/>
          <w:szCs w:val="20"/>
        </w:rPr>
        <w:t>A</w:t>
      </w:r>
      <w:r w:rsidR="00F927F3" w:rsidRPr="007337C6">
        <w:rPr>
          <w:rFonts w:ascii="Trebuchet MS" w:hAnsi="Trebuchet MS"/>
          <w:sz w:val="20"/>
          <w:szCs w:val="20"/>
        </w:rPr>
        <w:t>EI</w:t>
      </w:r>
      <w:r w:rsidR="00866EF4" w:rsidRPr="007337C6">
        <w:rPr>
          <w:rFonts w:ascii="Trebuchet MS" w:hAnsi="Trebuchet MS"/>
          <w:sz w:val="20"/>
          <w:szCs w:val="20"/>
        </w:rPr>
        <w:t xml:space="preserve"> </w:t>
      </w:r>
      <w:r w:rsidR="007B0679" w:rsidRPr="007337C6">
        <w:rPr>
          <w:rFonts w:ascii="Trebuchet MS" w:hAnsi="Trebuchet MS"/>
          <w:sz w:val="20"/>
          <w:szCs w:val="20"/>
        </w:rPr>
        <w:t>post-</w:t>
      </w:r>
      <w:r w:rsidR="00DD51C1" w:rsidRPr="007337C6">
        <w:rPr>
          <w:rFonts w:ascii="Trebuchet MS" w:hAnsi="Trebuchet MS"/>
          <w:sz w:val="20"/>
          <w:szCs w:val="20"/>
        </w:rPr>
        <w:t xml:space="preserve">Transfer </w:t>
      </w:r>
      <w:r w:rsidR="00866EF4" w:rsidRPr="007337C6">
        <w:rPr>
          <w:rFonts w:ascii="Trebuchet MS" w:hAnsi="Trebuchet MS"/>
          <w:sz w:val="20"/>
          <w:szCs w:val="20"/>
        </w:rPr>
        <w:t xml:space="preserve">will be broadly </w:t>
      </w:r>
      <w:r w:rsidR="00F927F3" w:rsidRPr="007337C6">
        <w:rPr>
          <w:rFonts w:ascii="Trebuchet MS" w:hAnsi="Trebuchet MS"/>
          <w:sz w:val="20"/>
          <w:szCs w:val="20"/>
        </w:rPr>
        <w:t xml:space="preserve">in line with that of AGIL and LGI before </w:t>
      </w:r>
      <w:r w:rsidR="00C407B1" w:rsidRPr="007337C6">
        <w:rPr>
          <w:rFonts w:ascii="Trebuchet MS" w:hAnsi="Trebuchet MS"/>
          <w:sz w:val="20"/>
          <w:szCs w:val="20"/>
        </w:rPr>
        <w:t>the Transfer</w:t>
      </w:r>
      <w:r w:rsidR="00F927F3" w:rsidRPr="007337C6">
        <w:rPr>
          <w:rFonts w:ascii="Trebuchet MS" w:hAnsi="Trebuchet MS"/>
          <w:sz w:val="20"/>
          <w:szCs w:val="20"/>
        </w:rPr>
        <w:t xml:space="preserve">, as it will be following the same Assurant Group </w:t>
      </w:r>
      <w:r w:rsidR="007166F4" w:rsidRPr="007337C6">
        <w:rPr>
          <w:rFonts w:ascii="Trebuchet MS" w:hAnsi="Trebuchet MS"/>
          <w:sz w:val="20"/>
          <w:szCs w:val="20"/>
        </w:rPr>
        <w:t>i</w:t>
      </w:r>
      <w:r w:rsidR="00F927F3" w:rsidRPr="007337C6">
        <w:rPr>
          <w:rFonts w:ascii="Trebuchet MS" w:hAnsi="Trebuchet MS"/>
          <w:sz w:val="20"/>
          <w:szCs w:val="20"/>
        </w:rPr>
        <w:t xml:space="preserve">nvestment philosophy. </w:t>
      </w:r>
      <w:r w:rsidR="00F90169" w:rsidRPr="007337C6">
        <w:rPr>
          <w:rFonts w:ascii="Trebuchet MS" w:hAnsi="Trebuchet MS"/>
          <w:sz w:val="20"/>
          <w:szCs w:val="20"/>
        </w:rPr>
        <w:t xml:space="preserve"> </w:t>
      </w:r>
      <w:proofErr w:type="gramStart"/>
      <w:r w:rsidR="00F90169" w:rsidRPr="007337C6">
        <w:rPr>
          <w:rFonts w:ascii="Trebuchet MS" w:hAnsi="Trebuchet MS"/>
          <w:sz w:val="20"/>
          <w:szCs w:val="20"/>
        </w:rPr>
        <w:t>After the Transfer there will remain indemnities under the Scheme between the companies (where needed) as well.</w:t>
      </w:r>
      <w:proofErr w:type="gramEnd"/>
    </w:p>
    <w:p w14:paraId="687C1E02" w14:textId="4B8A22D7" w:rsidR="00B5481E" w:rsidRPr="007337C6" w:rsidRDefault="00B5481E" w:rsidP="00B5481E">
      <w:pPr>
        <w:pStyle w:val="Heading1"/>
        <w:numPr>
          <w:ilvl w:val="1"/>
          <w:numId w:val="1"/>
        </w:numPr>
        <w:rPr>
          <w:color w:val="0070C0"/>
        </w:rPr>
      </w:pPr>
      <w:bookmarkStart w:id="92" w:name="_Toc52451886"/>
      <w:r w:rsidRPr="007337C6">
        <w:rPr>
          <w:color w:val="0070C0"/>
        </w:rPr>
        <w:t>Capital position</w:t>
      </w:r>
      <w:bookmarkEnd w:id="92"/>
    </w:p>
    <w:p w14:paraId="7C980EE3" w14:textId="77777777" w:rsidR="00B5481E" w:rsidRPr="007337C6" w:rsidRDefault="00B5481E" w:rsidP="00B5481E">
      <w:pPr>
        <w:pStyle w:val="BodyTextAfterTableGraphic"/>
        <w:tabs>
          <w:tab w:val="clear" w:pos="360"/>
          <w:tab w:val="clear" w:pos="720"/>
        </w:tabs>
        <w:spacing w:before="0" w:after="0" w:line="240" w:lineRule="auto"/>
        <w:rPr>
          <w:rFonts w:ascii="Trebuchet MS" w:hAnsi="Trebuchet MS"/>
          <w:sz w:val="22"/>
          <w:szCs w:val="22"/>
        </w:rPr>
      </w:pPr>
    </w:p>
    <w:p w14:paraId="2D6ABA5A" w14:textId="1A6BB362" w:rsidR="000100D7" w:rsidRPr="007337C6" w:rsidRDefault="000100D7" w:rsidP="00B5481E">
      <w:pPr>
        <w:pStyle w:val="BodyTextAfterTableGraphic"/>
        <w:tabs>
          <w:tab w:val="clear" w:pos="360"/>
          <w:tab w:val="clear" w:pos="720"/>
        </w:tabs>
        <w:spacing w:before="0" w:after="0" w:line="240" w:lineRule="auto"/>
        <w:rPr>
          <w:rFonts w:ascii="Trebuchet MS" w:hAnsi="Trebuchet MS"/>
          <w:b/>
          <w:bCs/>
          <w:sz w:val="20"/>
          <w:szCs w:val="20"/>
          <w:u w:val="single"/>
        </w:rPr>
      </w:pPr>
      <w:r w:rsidRPr="007337C6">
        <w:rPr>
          <w:rFonts w:ascii="Trebuchet MS" w:hAnsi="Trebuchet MS"/>
          <w:b/>
          <w:bCs/>
          <w:sz w:val="20"/>
          <w:szCs w:val="20"/>
          <w:u w:val="single"/>
        </w:rPr>
        <w:t>YE 19</w:t>
      </w:r>
    </w:p>
    <w:p w14:paraId="417DB243" w14:textId="5960636D" w:rsidR="006558A6" w:rsidRDefault="00E75748" w:rsidP="00B5481E">
      <w:pPr>
        <w:pStyle w:val="BodyTextAfterTableGraphic"/>
        <w:tabs>
          <w:tab w:val="clear" w:pos="360"/>
          <w:tab w:val="clear" w:pos="720"/>
        </w:tabs>
        <w:spacing w:before="0" w:after="0" w:line="240" w:lineRule="auto"/>
        <w:rPr>
          <w:rFonts w:ascii="Trebuchet MS" w:hAnsi="Trebuchet MS"/>
          <w:sz w:val="20"/>
          <w:szCs w:val="20"/>
        </w:rPr>
      </w:pPr>
      <w:r w:rsidRPr="007337C6">
        <w:rPr>
          <w:rFonts w:ascii="Trebuchet MS" w:hAnsi="Trebuchet MS"/>
          <w:sz w:val="20"/>
          <w:szCs w:val="20"/>
        </w:rPr>
        <w:t xml:space="preserve">For the </w:t>
      </w:r>
      <w:r w:rsidR="00DE6ACA" w:rsidRPr="007337C6">
        <w:rPr>
          <w:rFonts w:ascii="Trebuchet MS" w:hAnsi="Trebuchet MS"/>
          <w:sz w:val="20"/>
          <w:szCs w:val="20"/>
        </w:rPr>
        <w:t>“as-if” Transfer</w:t>
      </w:r>
      <w:r w:rsidRPr="007337C6">
        <w:rPr>
          <w:rFonts w:ascii="Trebuchet MS" w:hAnsi="Trebuchet MS"/>
          <w:sz w:val="20"/>
          <w:szCs w:val="20"/>
        </w:rPr>
        <w:t xml:space="preserve"> as at YE19</w:t>
      </w:r>
      <w:r w:rsidR="003816A2" w:rsidRPr="007337C6">
        <w:rPr>
          <w:rFonts w:ascii="Trebuchet MS" w:hAnsi="Trebuchet MS"/>
          <w:sz w:val="20"/>
          <w:szCs w:val="20"/>
        </w:rPr>
        <w:t xml:space="preserve"> (without the impact of </w:t>
      </w:r>
      <w:r w:rsidR="005E55C1">
        <w:rPr>
          <w:rFonts w:ascii="Trebuchet MS" w:hAnsi="Trebuchet MS"/>
          <w:sz w:val="20"/>
          <w:szCs w:val="20"/>
        </w:rPr>
        <w:t>COVID-19</w:t>
      </w:r>
      <w:r w:rsidR="003816A2" w:rsidRPr="007337C6">
        <w:rPr>
          <w:rFonts w:ascii="Trebuchet MS" w:hAnsi="Trebuchet MS"/>
          <w:sz w:val="20"/>
          <w:szCs w:val="20"/>
        </w:rPr>
        <w:t>)</w:t>
      </w:r>
      <w:r w:rsidRPr="007337C6">
        <w:rPr>
          <w:rFonts w:ascii="Trebuchet MS" w:hAnsi="Trebuchet MS"/>
          <w:sz w:val="20"/>
          <w:szCs w:val="20"/>
        </w:rPr>
        <w:t>, the capital position is as follows:</w:t>
      </w:r>
    </w:p>
    <w:p w14:paraId="7210F3B8" w14:textId="77777777" w:rsidR="009617AD" w:rsidRPr="007337C6" w:rsidRDefault="009617AD" w:rsidP="00B5481E">
      <w:pPr>
        <w:pStyle w:val="BodyTextAfterTableGraphic"/>
        <w:tabs>
          <w:tab w:val="clear" w:pos="360"/>
          <w:tab w:val="clear" w:pos="720"/>
        </w:tabs>
        <w:spacing w:before="0" w:after="0" w:line="240" w:lineRule="auto"/>
        <w:rPr>
          <w:rFonts w:ascii="Trebuchet MS" w:hAnsi="Trebuchet MS"/>
          <w:sz w:val="20"/>
          <w:szCs w:val="20"/>
        </w:rPr>
      </w:pPr>
    </w:p>
    <w:p w14:paraId="3246CD1F" w14:textId="77777777" w:rsidR="00E75748" w:rsidRPr="007337C6" w:rsidRDefault="00E75748" w:rsidP="00B5481E">
      <w:pPr>
        <w:pStyle w:val="BodyTextAfterTableGraphic"/>
        <w:tabs>
          <w:tab w:val="clear" w:pos="360"/>
          <w:tab w:val="clear" w:pos="720"/>
        </w:tabs>
        <w:spacing w:before="0" w:after="0" w:line="240" w:lineRule="auto"/>
        <w:rPr>
          <w:rFonts w:ascii="Trebuchet MS" w:hAnsi="Trebuchet MS"/>
          <w:sz w:val="20"/>
          <w:szCs w:val="20"/>
        </w:rPr>
      </w:pPr>
    </w:p>
    <w:tbl>
      <w:tblPr>
        <w:tblW w:w="8789" w:type="dxa"/>
        <w:tblLook w:val="04A0" w:firstRow="1" w:lastRow="0" w:firstColumn="1" w:lastColumn="0" w:noHBand="0" w:noVBand="1"/>
      </w:tblPr>
      <w:tblGrid>
        <w:gridCol w:w="3161"/>
        <w:gridCol w:w="1092"/>
        <w:gridCol w:w="850"/>
        <w:gridCol w:w="851"/>
        <w:gridCol w:w="850"/>
        <w:gridCol w:w="993"/>
        <w:gridCol w:w="992"/>
      </w:tblGrid>
      <w:tr w:rsidR="003A0756" w:rsidRPr="007337C6" w14:paraId="7BC05A4F" w14:textId="77777777" w:rsidTr="008427ED">
        <w:trPr>
          <w:trHeight w:val="269"/>
        </w:trPr>
        <w:tc>
          <w:tcPr>
            <w:tcW w:w="3161" w:type="dxa"/>
            <w:tcBorders>
              <w:top w:val="nil"/>
              <w:left w:val="nil"/>
              <w:bottom w:val="nil"/>
              <w:right w:val="nil"/>
            </w:tcBorders>
            <w:shd w:val="clear" w:color="auto" w:fill="auto"/>
            <w:noWrap/>
            <w:vAlign w:val="center"/>
            <w:hideMark/>
          </w:tcPr>
          <w:p w14:paraId="2F74AEC5" w14:textId="77777777" w:rsidR="003A0756" w:rsidRPr="007337C6" w:rsidRDefault="003A0756" w:rsidP="008427ED">
            <w:pPr>
              <w:spacing w:after="0" w:line="240" w:lineRule="auto"/>
              <w:jc w:val="right"/>
              <w:rPr>
                <w:rFonts w:ascii="Trebuchet MS" w:eastAsia="Times New Roman" w:hAnsi="Trebuchet MS" w:cs="Calibri"/>
                <w:color w:val="000000"/>
                <w:sz w:val="20"/>
                <w:szCs w:val="20"/>
                <w:lang w:eastAsia="en-GB"/>
              </w:rPr>
            </w:pPr>
            <w:r w:rsidRPr="007337C6">
              <w:rPr>
                <w:rFonts w:ascii="Trebuchet MS" w:eastAsia="Times New Roman" w:hAnsi="Trebuchet MS" w:cs="Calibri"/>
                <w:color w:val="000000"/>
                <w:sz w:val="20"/>
                <w:szCs w:val="20"/>
                <w:lang w:eastAsia="en-GB"/>
              </w:rPr>
              <w:t>£m</w:t>
            </w:r>
          </w:p>
        </w:tc>
        <w:tc>
          <w:tcPr>
            <w:tcW w:w="2793" w:type="dxa"/>
            <w:gridSpan w:val="3"/>
            <w:tcBorders>
              <w:top w:val="single" w:sz="8" w:space="0" w:color="auto"/>
              <w:left w:val="single" w:sz="8" w:space="0" w:color="auto"/>
              <w:bottom w:val="nil"/>
              <w:right w:val="single" w:sz="8" w:space="0" w:color="auto"/>
            </w:tcBorders>
            <w:shd w:val="clear" w:color="auto" w:fill="auto"/>
            <w:noWrap/>
            <w:vAlign w:val="center"/>
            <w:hideMark/>
          </w:tcPr>
          <w:p w14:paraId="2A617975" w14:textId="30D48D69" w:rsidR="003A0756" w:rsidRPr="007337C6" w:rsidRDefault="003A0756" w:rsidP="006602E0">
            <w:pPr>
              <w:spacing w:after="0" w:line="240" w:lineRule="auto"/>
              <w:jc w:val="center"/>
              <w:rPr>
                <w:rFonts w:ascii="Trebuchet MS" w:eastAsia="Times New Roman" w:hAnsi="Trebuchet MS" w:cs="Calibri"/>
                <w:color w:val="000000"/>
                <w:sz w:val="20"/>
                <w:szCs w:val="20"/>
                <w:lang w:eastAsia="en-GB"/>
              </w:rPr>
            </w:pPr>
            <w:r w:rsidRPr="007337C6">
              <w:rPr>
                <w:rFonts w:ascii="Trebuchet MS" w:eastAsia="Times New Roman" w:hAnsi="Trebuchet MS" w:cs="Calibri"/>
                <w:color w:val="000000"/>
                <w:sz w:val="20"/>
                <w:szCs w:val="20"/>
                <w:lang w:eastAsia="en-GB"/>
              </w:rPr>
              <w:t>Pre-</w:t>
            </w:r>
            <w:r w:rsidR="009339A8" w:rsidRPr="007337C6">
              <w:rPr>
                <w:rFonts w:ascii="Trebuchet MS" w:eastAsia="Times New Roman" w:hAnsi="Trebuchet MS" w:cs="Calibri"/>
                <w:color w:val="000000"/>
                <w:sz w:val="20"/>
                <w:szCs w:val="20"/>
                <w:lang w:eastAsia="en-GB"/>
              </w:rPr>
              <w:t>T</w:t>
            </w:r>
            <w:r w:rsidRPr="007337C6">
              <w:rPr>
                <w:rFonts w:ascii="Trebuchet MS" w:eastAsia="Times New Roman" w:hAnsi="Trebuchet MS" w:cs="Calibri"/>
                <w:color w:val="000000"/>
                <w:sz w:val="20"/>
                <w:szCs w:val="20"/>
                <w:lang w:eastAsia="en-GB"/>
              </w:rPr>
              <w:t>ransfer (as at 4Q19)</w:t>
            </w:r>
          </w:p>
        </w:tc>
        <w:tc>
          <w:tcPr>
            <w:tcW w:w="2835" w:type="dxa"/>
            <w:gridSpan w:val="3"/>
            <w:tcBorders>
              <w:top w:val="single" w:sz="8" w:space="0" w:color="auto"/>
              <w:left w:val="nil"/>
              <w:bottom w:val="nil"/>
              <w:right w:val="single" w:sz="8" w:space="0" w:color="000000"/>
            </w:tcBorders>
            <w:shd w:val="clear" w:color="auto" w:fill="auto"/>
            <w:noWrap/>
            <w:vAlign w:val="center"/>
            <w:hideMark/>
          </w:tcPr>
          <w:p w14:paraId="787D58B0" w14:textId="3585A972" w:rsidR="003A0756" w:rsidRPr="007337C6" w:rsidRDefault="007B0679" w:rsidP="006602E0">
            <w:pPr>
              <w:spacing w:after="0" w:line="240" w:lineRule="auto"/>
              <w:jc w:val="center"/>
              <w:rPr>
                <w:rFonts w:ascii="Trebuchet MS" w:eastAsia="Times New Roman" w:hAnsi="Trebuchet MS" w:cs="Calibri"/>
                <w:color w:val="000000"/>
                <w:sz w:val="20"/>
                <w:szCs w:val="20"/>
                <w:lang w:eastAsia="en-GB"/>
              </w:rPr>
            </w:pPr>
            <w:r w:rsidRPr="007337C6">
              <w:rPr>
                <w:rFonts w:ascii="Trebuchet MS" w:eastAsia="Times New Roman" w:hAnsi="Trebuchet MS" w:cs="Calibri"/>
                <w:color w:val="000000"/>
                <w:sz w:val="20"/>
                <w:szCs w:val="20"/>
                <w:lang w:eastAsia="en-GB"/>
              </w:rPr>
              <w:t>Post-</w:t>
            </w:r>
            <w:r w:rsidR="00DD51C1" w:rsidRPr="007337C6">
              <w:rPr>
                <w:rFonts w:ascii="Trebuchet MS" w:eastAsia="Times New Roman" w:hAnsi="Trebuchet MS" w:cs="Calibri"/>
                <w:color w:val="000000"/>
                <w:sz w:val="20"/>
                <w:szCs w:val="20"/>
                <w:lang w:eastAsia="en-GB"/>
              </w:rPr>
              <w:t xml:space="preserve">Transfer </w:t>
            </w:r>
            <w:r w:rsidR="003A0756" w:rsidRPr="007337C6">
              <w:rPr>
                <w:rFonts w:ascii="Trebuchet MS" w:eastAsia="Times New Roman" w:hAnsi="Trebuchet MS" w:cs="Calibri"/>
                <w:color w:val="000000"/>
                <w:sz w:val="20"/>
                <w:szCs w:val="20"/>
                <w:lang w:eastAsia="en-GB"/>
              </w:rPr>
              <w:t>(as at 4Q19 + impact of Transfer)</w:t>
            </w:r>
          </w:p>
        </w:tc>
      </w:tr>
      <w:tr w:rsidR="003A0756" w:rsidRPr="007337C6" w14:paraId="57C3E9F7" w14:textId="77777777" w:rsidTr="00487E08">
        <w:trPr>
          <w:trHeight w:val="269"/>
        </w:trPr>
        <w:tc>
          <w:tcPr>
            <w:tcW w:w="3161" w:type="dxa"/>
            <w:tcBorders>
              <w:top w:val="nil"/>
              <w:left w:val="nil"/>
              <w:bottom w:val="nil"/>
              <w:right w:val="nil"/>
            </w:tcBorders>
            <w:shd w:val="clear" w:color="auto" w:fill="auto"/>
            <w:noWrap/>
            <w:vAlign w:val="bottom"/>
            <w:hideMark/>
          </w:tcPr>
          <w:p w14:paraId="1D558B01" w14:textId="77777777" w:rsidR="003A0756" w:rsidRPr="007337C6" w:rsidRDefault="003A0756" w:rsidP="008427ED">
            <w:pPr>
              <w:spacing w:after="0" w:line="240" w:lineRule="auto"/>
              <w:rPr>
                <w:rFonts w:ascii="Trebuchet MS" w:eastAsia="Times New Roman" w:hAnsi="Trebuchet MS" w:cs="Calibri"/>
                <w:color w:val="000000"/>
                <w:sz w:val="20"/>
                <w:szCs w:val="20"/>
                <w:lang w:eastAsia="en-GB"/>
              </w:rPr>
            </w:pPr>
          </w:p>
        </w:tc>
        <w:tc>
          <w:tcPr>
            <w:tcW w:w="1092" w:type="dxa"/>
            <w:tcBorders>
              <w:top w:val="single" w:sz="8" w:space="0" w:color="auto"/>
              <w:left w:val="single" w:sz="8" w:space="0" w:color="auto"/>
              <w:bottom w:val="single" w:sz="8" w:space="0" w:color="auto"/>
              <w:right w:val="nil"/>
            </w:tcBorders>
            <w:shd w:val="clear" w:color="000000" w:fill="D9D9D9"/>
            <w:noWrap/>
            <w:vAlign w:val="center"/>
            <w:hideMark/>
          </w:tcPr>
          <w:p w14:paraId="75C2540A" w14:textId="77777777" w:rsidR="003A0756" w:rsidRPr="007337C6" w:rsidRDefault="003A0756" w:rsidP="008427ED">
            <w:pPr>
              <w:spacing w:after="0" w:line="240" w:lineRule="auto"/>
              <w:jc w:val="right"/>
              <w:rPr>
                <w:rFonts w:ascii="Trebuchet MS" w:eastAsia="Times New Roman" w:hAnsi="Trebuchet MS" w:cs="Calibri"/>
                <w:color w:val="000000"/>
                <w:sz w:val="20"/>
                <w:szCs w:val="20"/>
                <w:lang w:eastAsia="en-GB"/>
              </w:rPr>
            </w:pPr>
            <w:r w:rsidRPr="007337C6">
              <w:rPr>
                <w:rFonts w:ascii="Trebuchet MS" w:eastAsia="Times New Roman" w:hAnsi="Trebuchet MS" w:cs="Calibri"/>
                <w:color w:val="000000"/>
                <w:sz w:val="20"/>
                <w:szCs w:val="20"/>
                <w:lang w:eastAsia="en-GB"/>
              </w:rPr>
              <w:t>AGIL</w:t>
            </w:r>
          </w:p>
        </w:tc>
        <w:tc>
          <w:tcPr>
            <w:tcW w:w="850" w:type="dxa"/>
            <w:tcBorders>
              <w:top w:val="single" w:sz="8" w:space="0" w:color="auto"/>
              <w:left w:val="nil"/>
              <w:bottom w:val="single" w:sz="8" w:space="0" w:color="auto"/>
              <w:right w:val="nil"/>
            </w:tcBorders>
            <w:shd w:val="clear" w:color="000000" w:fill="D9D9D9"/>
            <w:noWrap/>
            <w:vAlign w:val="center"/>
            <w:hideMark/>
          </w:tcPr>
          <w:p w14:paraId="3B1F0A0E" w14:textId="77777777" w:rsidR="003A0756" w:rsidRPr="007337C6" w:rsidRDefault="003A0756" w:rsidP="008427ED">
            <w:pPr>
              <w:spacing w:after="0" w:line="240" w:lineRule="auto"/>
              <w:jc w:val="right"/>
              <w:rPr>
                <w:rFonts w:ascii="Trebuchet MS" w:eastAsia="Times New Roman" w:hAnsi="Trebuchet MS" w:cs="Calibri"/>
                <w:color w:val="000000"/>
                <w:sz w:val="20"/>
                <w:szCs w:val="20"/>
                <w:lang w:eastAsia="en-GB"/>
              </w:rPr>
            </w:pPr>
            <w:r w:rsidRPr="007337C6">
              <w:rPr>
                <w:rFonts w:ascii="Trebuchet MS" w:eastAsia="Times New Roman" w:hAnsi="Trebuchet MS" w:cs="Calibri"/>
                <w:color w:val="000000"/>
                <w:sz w:val="20"/>
                <w:szCs w:val="20"/>
                <w:lang w:eastAsia="en-GB"/>
              </w:rPr>
              <w:t>LGI</w:t>
            </w:r>
          </w:p>
        </w:tc>
        <w:tc>
          <w:tcPr>
            <w:tcW w:w="851" w:type="dxa"/>
            <w:tcBorders>
              <w:top w:val="single" w:sz="8" w:space="0" w:color="auto"/>
              <w:left w:val="nil"/>
              <w:bottom w:val="single" w:sz="8" w:space="0" w:color="auto"/>
              <w:right w:val="single" w:sz="8" w:space="0" w:color="auto"/>
            </w:tcBorders>
            <w:shd w:val="clear" w:color="000000" w:fill="D9D9D9"/>
            <w:noWrap/>
            <w:vAlign w:val="center"/>
            <w:hideMark/>
          </w:tcPr>
          <w:p w14:paraId="30D18FD5" w14:textId="77777777" w:rsidR="003A0756" w:rsidRPr="007337C6" w:rsidRDefault="003A0756" w:rsidP="008427ED">
            <w:pPr>
              <w:spacing w:after="0" w:line="240" w:lineRule="auto"/>
              <w:jc w:val="right"/>
              <w:rPr>
                <w:rFonts w:ascii="Trebuchet MS" w:eastAsia="Times New Roman" w:hAnsi="Trebuchet MS" w:cs="Calibri"/>
                <w:color w:val="000000"/>
                <w:sz w:val="20"/>
                <w:szCs w:val="20"/>
                <w:lang w:eastAsia="en-GB"/>
              </w:rPr>
            </w:pPr>
            <w:r w:rsidRPr="007337C6">
              <w:rPr>
                <w:rFonts w:ascii="Trebuchet MS" w:eastAsia="Times New Roman" w:hAnsi="Trebuchet MS" w:cs="Calibri"/>
                <w:color w:val="000000"/>
                <w:sz w:val="20"/>
                <w:szCs w:val="20"/>
                <w:lang w:eastAsia="en-GB"/>
              </w:rPr>
              <w:t>AEI</w:t>
            </w:r>
          </w:p>
        </w:tc>
        <w:tc>
          <w:tcPr>
            <w:tcW w:w="850" w:type="dxa"/>
            <w:tcBorders>
              <w:top w:val="single" w:sz="8" w:space="0" w:color="auto"/>
              <w:left w:val="nil"/>
              <w:bottom w:val="single" w:sz="8" w:space="0" w:color="auto"/>
              <w:right w:val="nil"/>
            </w:tcBorders>
            <w:shd w:val="clear" w:color="000000" w:fill="D9D9D9"/>
            <w:noWrap/>
            <w:vAlign w:val="center"/>
            <w:hideMark/>
          </w:tcPr>
          <w:p w14:paraId="7287A290" w14:textId="77777777" w:rsidR="003A0756" w:rsidRPr="007337C6" w:rsidRDefault="003A0756" w:rsidP="008427ED">
            <w:pPr>
              <w:spacing w:after="0" w:line="240" w:lineRule="auto"/>
              <w:jc w:val="right"/>
              <w:rPr>
                <w:rFonts w:ascii="Trebuchet MS" w:eastAsia="Times New Roman" w:hAnsi="Trebuchet MS" w:cs="Calibri"/>
                <w:color w:val="000000"/>
                <w:sz w:val="20"/>
                <w:szCs w:val="20"/>
                <w:lang w:eastAsia="en-GB"/>
              </w:rPr>
            </w:pPr>
            <w:r w:rsidRPr="007337C6">
              <w:rPr>
                <w:rFonts w:ascii="Trebuchet MS" w:eastAsia="Times New Roman" w:hAnsi="Trebuchet MS" w:cs="Calibri"/>
                <w:color w:val="000000"/>
                <w:sz w:val="20"/>
                <w:szCs w:val="20"/>
                <w:lang w:eastAsia="en-GB"/>
              </w:rPr>
              <w:t>AGIL</w:t>
            </w:r>
          </w:p>
        </w:tc>
        <w:tc>
          <w:tcPr>
            <w:tcW w:w="993" w:type="dxa"/>
            <w:tcBorders>
              <w:top w:val="single" w:sz="8" w:space="0" w:color="auto"/>
              <w:left w:val="nil"/>
              <w:bottom w:val="single" w:sz="8" w:space="0" w:color="auto"/>
              <w:right w:val="nil"/>
            </w:tcBorders>
            <w:shd w:val="clear" w:color="000000" w:fill="D9D9D9"/>
            <w:noWrap/>
            <w:vAlign w:val="center"/>
            <w:hideMark/>
          </w:tcPr>
          <w:p w14:paraId="58745364" w14:textId="77777777" w:rsidR="003A0756" w:rsidRPr="007337C6" w:rsidRDefault="003A0756" w:rsidP="008427ED">
            <w:pPr>
              <w:spacing w:after="0" w:line="240" w:lineRule="auto"/>
              <w:jc w:val="right"/>
              <w:rPr>
                <w:rFonts w:ascii="Trebuchet MS" w:eastAsia="Times New Roman" w:hAnsi="Trebuchet MS" w:cs="Calibri"/>
                <w:color w:val="000000"/>
                <w:sz w:val="20"/>
                <w:szCs w:val="20"/>
                <w:lang w:eastAsia="en-GB"/>
              </w:rPr>
            </w:pPr>
            <w:r w:rsidRPr="007337C6">
              <w:rPr>
                <w:rFonts w:ascii="Trebuchet MS" w:eastAsia="Times New Roman" w:hAnsi="Trebuchet MS" w:cs="Calibri"/>
                <w:color w:val="000000"/>
                <w:sz w:val="20"/>
                <w:szCs w:val="20"/>
                <w:lang w:eastAsia="en-GB"/>
              </w:rPr>
              <w:t>LGI</w:t>
            </w:r>
          </w:p>
        </w:tc>
        <w:tc>
          <w:tcPr>
            <w:tcW w:w="992" w:type="dxa"/>
            <w:tcBorders>
              <w:top w:val="single" w:sz="8" w:space="0" w:color="auto"/>
              <w:left w:val="nil"/>
              <w:bottom w:val="single" w:sz="8" w:space="0" w:color="auto"/>
              <w:right w:val="single" w:sz="8" w:space="0" w:color="auto"/>
            </w:tcBorders>
            <w:shd w:val="clear" w:color="000000" w:fill="D9D9D9"/>
            <w:noWrap/>
            <w:vAlign w:val="center"/>
            <w:hideMark/>
          </w:tcPr>
          <w:p w14:paraId="01AFFE85" w14:textId="77777777" w:rsidR="003A0756" w:rsidRPr="007337C6" w:rsidRDefault="003A0756" w:rsidP="008427ED">
            <w:pPr>
              <w:spacing w:after="0" w:line="240" w:lineRule="auto"/>
              <w:jc w:val="right"/>
              <w:rPr>
                <w:rFonts w:ascii="Trebuchet MS" w:eastAsia="Times New Roman" w:hAnsi="Trebuchet MS" w:cs="Calibri"/>
                <w:color w:val="000000"/>
                <w:sz w:val="20"/>
                <w:szCs w:val="20"/>
                <w:lang w:eastAsia="en-GB"/>
              </w:rPr>
            </w:pPr>
            <w:r w:rsidRPr="007337C6">
              <w:rPr>
                <w:rFonts w:ascii="Trebuchet MS" w:eastAsia="Times New Roman" w:hAnsi="Trebuchet MS" w:cs="Calibri"/>
                <w:color w:val="000000"/>
                <w:sz w:val="20"/>
                <w:szCs w:val="20"/>
                <w:lang w:eastAsia="en-GB"/>
              </w:rPr>
              <w:t>AEI</w:t>
            </w:r>
          </w:p>
        </w:tc>
      </w:tr>
      <w:tr w:rsidR="002304B7" w:rsidRPr="007337C6" w14:paraId="4F5B1E94" w14:textId="77777777" w:rsidTr="00165C01">
        <w:trPr>
          <w:trHeight w:val="260"/>
        </w:trPr>
        <w:tc>
          <w:tcPr>
            <w:tcW w:w="3161" w:type="dxa"/>
            <w:tcBorders>
              <w:top w:val="nil"/>
              <w:left w:val="nil"/>
              <w:bottom w:val="nil"/>
              <w:right w:val="nil"/>
            </w:tcBorders>
            <w:shd w:val="clear" w:color="auto" w:fill="auto"/>
            <w:noWrap/>
            <w:vAlign w:val="center"/>
            <w:hideMark/>
          </w:tcPr>
          <w:p w14:paraId="11F384AC" w14:textId="77777777" w:rsidR="002304B7" w:rsidRPr="007337C6" w:rsidRDefault="002304B7" w:rsidP="002304B7">
            <w:pPr>
              <w:spacing w:after="0" w:line="240" w:lineRule="auto"/>
              <w:jc w:val="right"/>
              <w:rPr>
                <w:rFonts w:ascii="Trebuchet MS" w:eastAsia="Times New Roman" w:hAnsi="Trebuchet MS" w:cs="Calibri"/>
                <w:color w:val="000000"/>
                <w:sz w:val="20"/>
                <w:szCs w:val="20"/>
                <w:lang w:eastAsia="en-GB"/>
              </w:rPr>
            </w:pPr>
            <w:r w:rsidRPr="007337C6">
              <w:rPr>
                <w:rFonts w:ascii="Trebuchet MS" w:eastAsia="Times New Roman" w:hAnsi="Trebuchet MS" w:cs="Calibri"/>
                <w:color w:val="000000"/>
                <w:sz w:val="20"/>
                <w:szCs w:val="20"/>
                <w:lang w:eastAsia="en-GB"/>
              </w:rPr>
              <w:t>Eligible Own Funds</w:t>
            </w:r>
          </w:p>
        </w:tc>
        <w:tc>
          <w:tcPr>
            <w:tcW w:w="1092" w:type="dxa"/>
            <w:tcBorders>
              <w:top w:val="nil"/>
              <w:left w:val="single" w:sz="8" w:space="0" w:color="auto"/>
              <w:bottom w:val="nil"/>
              <w:right w:val="nil"/>
            </w:tcBorders>
            <w:shd w:val="clear" w:color="auto" w:fill="auto"/>
            <w:noWrap/>
            <w:vAlign w:val="bottom"/>
            <w:hideMark/>
          </w:tcPr>
          <w:p w14:paraId="46358018" w14:textId="5209968E" w:rsidR="002304B7" w:rsidRPr="007337C6" w:rsidRDefault="002304B7" w:rsidP="002304B7">
            <w:pPr>
              <w:spacing w:after="0" w:line="240" w:lineRule="auto"/>
              <w:jc w:val="right"/>
              <w:rPr>
                <w:rFonts w:ascii="Trebuchet MS" w:hAnsi="Trebuchet MS"/>
                <w:color w:val="000000"/>
                <w:sz w:val="18"/>
                <w:szCs w:val="18"/>
              </w:rPr>
            </w:pPr>
            <w:r w:rsidRPr="007337C6">
              <w:rPr>
                <w:rFonts w:ascii="Trebuchet MS" w:hAnsi="Trebuchet MS" w:cs="Calibri"/>
                <w:color w:val="000000"/>
                <w:sz w:val="18"/>
                <w:szCs w:val="18"/>
              </w:rPr>
              <w:t>94.9</w:t>
            </w:r>
          </w:p>
        </w:tc>
        <w:tc>
          <w:tcPr>
            <w:tcW w:w="850" w:type="dxa"/>
            <w:tcBorders>
              <w:top w:val="nil"/>
              <w:left w:val="nil"/>
              <w:bottom w:val="nil"/>
              <w:right w:val="nil"/>
            </w:tcBorders>
            <w:shd w:val="clear" w:color="auto" w:fill="auto"/>
            <w:noWrap/>
            <w:vAlign w:val="bottom"/>
            <w:hideMark/>
          </w:tcPr>
          <w:p w14:paraId="0D7FE8BF" w14:textId="54E1AF89" w:rsidR="002304B7" w:rsidRPr="007337C6" w:rsidRDefault="002304B7" w:rsidP="002304B7">
            <w:pPr>
              <w:spacing w:after="0" w:line="240" w:lineRule="auto"/>
              <w:jc w:val="right"/>
              <w:rPr>
                <w:rFonts w:ascii="Trebuchet MS" w:hAnsi="Trebuchet MS"/>
                <w:color w:val="000000"/>
                <w:sz w:val="18"/>
                <w:szCs w:val="18"/>
              </w:rPr>
            </w:pPr>
            <w:r w:rsidRPr="007337C6">
              <w:rPr>
                <w:rFonts w:ascii="Trebuchet MS" w:hAnsi="Trebuchet MS" w:cs="Calibri"/>
                <w:color w:val="000000"/>
                <w:sz w:val="18"/>
                <w:szCs w:val="18"/>
              </w:rPr>
              <w:t>90.8</w:t>
            </w:r>
          </w:p>
        </w:tc>
        <w:tc>
          <w:tcPr>
            <w:tcW w:w="851" w:type="dxa"/>
            <w:tcBorders>
              <w:top w:val="nil"/>
              <w:left w:val="nil"/>
              <w:bottom w:val="nil"/>
              <w:right w:val="single" w:sz="8" w:space="0" w:color="auto"/>
            </w:tcBorders>
            <w:shd w:val="clear" w:color="auto" w:fill="auto"/>
            <w:noWrap/>
            <w:vAlign w:val="bottom"/>
            <w:hideMark/>
          </w:tcPr>
          <w:p w14:paraId="7F109A8F" w14:textId="71180577" w:rsidR="002304B7" w:rsidRPr="007337C6" w:rsidRDefault="002304B7" w:rsidP="002304B7">
            <w:pPr>
              <w:spacing w:after="0" w:line="240" w:lineRule="auto"/>
              <w:jc w:val="right"/>
              <w:rPr>
                <w:rFonts w:ascii="Trebuchet MS" w:hAnsi="Trebuchet MS"/>
                <w:color w:val="000000"/>
                <w:sz w:val="18"/>
                <w:szCs w:val="18"/>
              </w:rPr>
            </w:pPr>
            <w:r w:rsidRPr="007337C6">
              <w:rPr>
                <w:rFonts w:ascii="Trebuchet MS" w:hAnsi="Trebuchet MS" w:cs="Calibri"/>
                <w:color w:val="000000"/>
                <w:sz w:val="18"/>
                <w:szCs w:val="18"/>
              </w:rPr>
              <w:t>37.4</w:t>
            </w:r>
          </w:p>
        </w:tc>
        <w:tc>
          <w:tcPr>
            <w:tcW w:w="850" w:type="dxa"/>
            <w:tcBorders>
              <w:top w:val="nil"/>
              <w:left w:val="nil"/>
              <w:bottom w:val="nil"/>
              <w:right w:val="nil"/>
            </w:tcBorders>
            <w:shd w:val="clear" w:color="auto" w:fill="auto"/>
            <w:noWrap/>
            <w:vAlign w:val="bottom"/>
            <w:hideMark/>
          </w:tcPr>
          <w:p w14:paraId="3B06627A" w14:textId="4196993F" w:rsidR="002304B7" w:rsidRPr="007337C6" w:rsidRDefault="002304B7" w:rsidP="002304B7">
            <w:pPr>
              <w:spacing w:after="0" w:line="240" w:lineRule="auto"/>
              <w:jc w:val="right"/>
              <w:rPr>
                <w:rFonts w:ascii="Trebuchet MS" w:hAnsi="Trebuchet MS"/>
                <w:color w:val="000000"/>
                <w:sz w:val="18"/>
                <w:szCs w:val="18"/>
              </w:rPr>
            </w:pPr>
            <w:r w:rsidRPr="007337C6">
              <w:rPr>
                <w:rFonts w:ascii="Trebuchet MS" w:hAnsi="Trebuchet MS" w:cs="Calibri"/>
                <w:color w:val="000000"/>
                <w:sz w:val="18"/>
                <w:szCs w:val="18"/>
              </w:rPr>
              <w:t>105.0</w:t>
            </w:r>
          </w:p>
        </w:tc>
        <w:tc>
          <w:tcPr>
            <w:tcW w:w="993" w:type="dxa"/>
            <w:tcBorders>
              <w:top w:val="nil"/>
              <w:left w:val="nil"/>
              <w:bottom w:val="nil"/>
              <w:right w:val="nil"/>
            </w:tcBorders>
            <w:shd w:val="clear" w:color="auto" w:fill="auto"/>
            <w:noWrap/>
            <w:vAlign w:val="bottom"/>
            <w:hideMark/>
          </w:tcPr>
          <w:p w14:paraId="7EFCA5FA" w14:textId="61D327A2" w:rsidR="002304B7" w:rsidRPr="002304B7" w:rsidRDefault="002304B7" w:rsidP="002304B7">
            <w:pPr>
              <w:spacing w:after="0" w:line="240" w:lineRule="auto"/>
              <w:jc w:val="right"/>
              <w:rPr>
                <w:rFonts w:ascii="Trebuchet MS" w:hAnsi="Trebuchet MS"/>
                <w:color w:val="000000"/>
                <w:sz w:val="18"/>
                <w:szCs w:val="18"/>
              </w:rPr>
            </w:pPr>
            <w:r w:rsidRPr="003C27AC">
              <w:rPr>
                <w:rFonts w:ascii="Trebuchet MS" w:hAnsi="Trebuchet MS" w:cs="Calibri"/>
                <w:color w:val="000000"/>
                <w:sz w:val="18"/>
                <w:szCs w:val="18"/>
              </w:rPr>
              <w:t>53.2</w:t>
            </w:r>
          </w:p>
        </w:tc>
        <w:tc>
          <w:tcPr>
            <w:tcW w:w="992" w:type="dxa"/>
            <w:tcBorders>
              <w:top w:val="nil"/>
              <w:left w:val="nil"/>
              <w:bottom w:val="nil"/>
              <w:right w:val="single" w:sz="8" w:space="0" w:color="auto"/>
            </w:tcBorders>
            <w:shd w:val="clear" w:color="auto" w:fill="auto"/>
            <w:noWrap/>
            <w:vAlign w:val="bottom"/>
            <w:hideMark/>
          </w:tcPr>
          <w:p w14:paraId="3D7868D9" w14:textId="15684025" w:rsidR="002304B7" w:rsidRPr="007337C6" w:rsidRDefault="002304B7" w:rsidP="002304B7">
            <w:pPr>
              <w:spacing w:after="0" w:line="240" w:lineRule="auto"/>
              <w:jc w:val="right"/>
              <w:rPr>
                <w:rFonts w:ascii="Trebuchet MS" w:hAnsi="Trebuchet MS"/>
                <w:color w:val="000000"/>
                <w:sz w:val="18"/>
                <w:szCs w:val="18"/>
              </w:rPr>
            </w:pPr>
            <w:r w:rsidRPr="007337C6">
              <w:rPr>
                <w:rFonts w:ascii="Trebuchet MS" w:hAnsi="Trebuchet MS" w:cs="Calibri"/>
                <w:color w:val="000000"/>
                <w:sz w:val="18"/>
                <w:szCs w:val="18"/>
              </w:rPr>
              <w:t>62.3</w:t>
            </w:r>
          </w:p>
        </w:tc>
      </w:tr>
      <w:tr w:rsidR="002304B7" w:rsidRPr="007337C6" w14:paraId="06008757" w14:textId="77777777" w:rsidTr="00165C01">
        <w:trPr>
          <w:trHeight w:val="260"/>
        </w:trPr>
        <w:tc>
          <w:tcPr>
            <w:tcW w:w="3161" w:type="dxa"/>
            <w:tcBorders>
              <w:top w:val="nil"/>
              <w:left w:val="nil"/>
              <w:bottom w:val="nil"/>
              <w:right w:val="nil"/>
            </w:tcBorders>
            <w:shd w:val="clear" w:color="auto" w:fill="auto"/>
            <w:noWrap/>
            <w:vAlign w:val="center"/>
            <w:hideMark/>
          </w:tcPr>
          <w:p w14:paraId="75B0F41F" w14:textId="77777777" w:rsidR="002304B7" w:rsidRPr="007337C6" w:rsidRDefault="002304B7" w:rsidP="002304B7">
            <w:pPr>
              <w:spacing w:after="0" w:line="240" w:lineRule="auto"/>
              <w:jc w:val="right"/>
              <w:rPr>
                <w:rFonts w:ascii="Trebuchet MS" w:eastAsia="Times New Roman" w:hAnsi="Trebuchet MS" w:cs="Calibri"/>
                <w:color w:val="000000"/>
                <w:sz w:val="20"/>
                <w:szCs w:val="20"/>
                <w:lang w:eastAsia="en-GB"/>
              </w:rPr>
            </w:pPr>
            <w:r w:rsidRPr="007337C6">
              <w:rPr>
                <w:rFonts w:ascii="Trebuchet MS" w:eastAsia="Times New Roman" w:hAnsi="Trebuchet MS" w:cs="Calibri"/>
                <w:color w:val="000000"/>
                <w:sz w:val="20"/>
                <w:szCs w:val="20"/>
                <w:lang w:eastAsia="en-GB"/>
              </w:rPr>
              <w:t>Regulatory SCR</w:t>
            </w:r>
          </w:p>
        </w:tc>
        <w:tc>
          <w:tcPr>
            <w:tcW w:w="1092" w:type="dxa"/>
            <w:tcBorders>
              <w:top w:val="nil"/>
              <w:left w:val="single" w:sz="8" w:space="0" w:color="auto"/>
              <w:bottom w:val="nil"/>
              <w:right w:val="nil"/>
            </w:tcBorders>
            <w:shd w:val="clear" w:color="auto" w:fill="auto"/>
            <w:noWrap/>
            <w:vAlign w:val="bottom"/>
            <w:hideMark/>
          </w:tcPr>
          <w:p w14:paraId="209239BB" w14:textId="5B7179F8" w:rsidR="002304B7" w:rsidRPr="007337C6" w:rsidRDefault="002304B7" w:rsidP="002304B7">
            <w:pPr>
              <w:spacing w:after="0" w:line="240" w:lineRule="auto"/>
              <w:jc w:val="right"/>
              <w:rPr>
                <w:rFonts w:ascii="Trebuchet MS" w:hAnsi="Trebuchet MS"/>
                <w:color w:val="000000"/>
                <w:sz w:val="18"/>
                <w:szCs w:val="18"/>
              </w:rPr>
            </w:pPr>
            <w:r w:rsidRPr="007337C6">
              <w:rPr>
                <w:rFonts w:ascii="Trebuchet MS" w:hAnsi="Trebuchet MS" w:cs="Calibri"/>
                <w:color w:val="000000"/>
                <w:sz w:val="18"/>
                <w:szCs w:val="18"/>
              </w:rPr>
              <w:t>63.4</w:t>
            </w:r>
          </w:p>
        </w:tc>
        <w:tc>
          <w:tcPr>
            <w:tcW w:w="850" w:type="dxa"/>
            <w:tcBorders>
              <w:top w:val="nil"/>
              <w:left w:val="nil"/>
              <w:bottom w:val="nil"/>
              <w:right w:val="nil"/>
            </w:tcBorders>
            <w:shd w:val="clear" w:color="auto" w:fill="auto"/>
            <w:noWrap/>
            <w:vAlign w:val="bottom"/>
            <w:hideMark/>
          </w:tcPr>
          <w:p w14:paraId="24BD8723" w14:textId="2B611794" w:rsidR="002304B7" w:rsidRPr="007337C6" w:rsidRDefault="002304B7" w:rsidP="002304B7">
            <w:pPr>
              <w:spacing w:after="0" w:line="240" w:lineRule="auto"/>
              <w:jc w:val="right"/>
              <w:rPr>
                <w:rFonts w:ascii="Trebuchet MS" w:hAnsi="Trebuchet MS"/>
                <w:color w:val="000000"/>
                <w:sz w:val="18"/>
                <w:szCs w:val="18"/>
              </w:rPr>
            </w:pPr>
            <w:r w:rsidRPr="007337C6">
              <w:rPr>
                <w:rFonts w:ascii="Trebuchet MS" w:hAnsi="Trebuchet MS" w:cs="Calibri"/>
                <w:color w:val="000000"/>
                <w:sz w:val="18"/>
                <w:szCs w:val="18"/>
              </w:rPr>
              <w:t>46.2</w:t>
            </w:r>
          </w:p>
        </w:tc>
        <w:tc>
          <w:tcPr>
            <w:tcW w:w="851" w:type="dxa"/>
            <w:tcBorders>
              <w:top w:val="nil"/>
              <w:left w:val="nil"/>
              <w:bottom w:val="nil"/>
              <w:right w:val="single" w:sz="8" w:space="0" w:color="auto"/>
            </w:tcBorders>
            <w:shd w:val="clear" w:color="auto" w:fill="auto"/>
            <w:noWrap/>
            <w:vAlign w:val="bottom"/>
            <w:hideMark/>
          </w:tcPr>
          <w:p w14:paraId="15F61924" w14:textId="46D2659A" w:rsidR="002304B7" w:rsidRPr="007337C6" w:rsidRDefault="002304B7" w:rsidP="002304B7">
            <w:pPr>
              <w:spacing w:after="0" w:line="240" w:lineRule="auto"/>
              <w:jc w:val="right"/>
              <w:rPr>
                <w:rFonts w:ascii="Trebuchet MS" w:hAnsi="Trebuchet MS"/>
                <w:color w:val="000000"/>
                <w:sz w:val="18"/>
                <w:szCs w:val="18"/>
              </w:rPr>
            </w:pPr>
            <w:r w:rsidRPr="007337C6">
              <w:rPr>
                <w:rFonts w:ascii="Trebuchet MS" w:hAnsi="Trebuchet MS" w:cs="Calibri"/>
                <w:color w:val="000000"/>
                <w:sz w:val="18"/>
                <w:szCs w:val="18"/>
              </w:rPr>
              <w:t>0.0</w:t>
            </w:r>
          </w:p>
        </w:tc>
        <w:tc>
          <w:tcPr>
            <w:tcW w:w="850" w:type="dxa"/>
            <w:tcBorders>
              <w:top w:val="nil"/>
              <w:left w:val="nil"/>
              <w:bottom w:val="nil"/>
              <w:right w:val="nil"/>
            </w:tcBorders>
            <w:shd w:val="clear" w:color="auto" w:fill="auto"/>
            <w:noWrap/>
            <w:vAlign w:val="bottom"/>
            <w:hideMark/>
          </w:tcPr>
          <w:p w14:paraId="1D2F423D" w14:textId="1090A0D0" w:rsidR="002304B7" w:rsidRPr="007337C6" w:rsidRDefault="002304B7" w:rsidP="002304B7">
            <w:pPr>
              <w:spacing w:after="0" w:line="240" w:lineRule="auto"/>
              <w:jc w:val="right"/>
              <w:rPr>
                <w:rFonts w:ascii="Trebuchet MS" w:hAnsi="Trebuchet MS"/>
                <w:color w:val="000000"/>
                <w:sz w:val="18"/>
                <w:szCs w:val="18"/>
              </w:rPr>
            </w:pPr>
            <w:r w:rsidRPr="007337C6">
              <w:rPr>
                <w:rFonts w:ascii="Trebuchet MS" w:hAnsi="Trebuchet MS" w:cs="Calibri"/>
                <w:color w:val="000000"/>
                <w:sz w:val="18"/>
                <w:szCs w:val="18"/>
              </w:rPr>
              <w:t>58.7</w:t>
            </w:r>
          </w:p>
        </w:tc>
        <w:tc>
          <w:tcPr>
            <w:tcW w:w="993" w:type="dxa"/>
            <w:tcBorders>
              <w:top w:val="nil"/>
              <w:left w:val="nil"/>
              <w:bottom w:val="nil"/>
              <w:right w:val="nil"/>
            </w:tcBorders>
            <w:shd w:val="clear" w:color="auto" w:fill="auto"/>
            <w:noWrap/>
            <w:vAlign w:val="bottom"/>
            <w:hideMark/>
          </w:tcPr>
          <w:p w14:paraId="390CCE91" w14:textId="7CA46649" w:rsidR="002304B7" w:rsidRPr="002304B7" w:rsidRDefault="002304B7" w:rsidP="002304B7">
            <w:pPr>
              <w:spacing w:after="0" w:line="240" w:lineRule="auto"/>
              <w:jc w:val="right"/>
              <w:rPr>
                <w:rFonts w:ascii="Trebuchet MS" w:hAnsi="Trebuchet MS"/>
                <w:color w:val="000000"/>
                <w:sz w:val="18"/>
                <w:szCs w:val="18"/>
              </w:rPr>
            </w:pPr>
            <w:r w:rsidRPr="003C27AC">
              <w:rPr>
                <w:rFonts w:ascii="Trebuchet MS" w:hAnsi="Trebuchet MS" w:cs="Calibri"/>
                <w:color w:val="000000"/>
                <w:sz w:val="18"/>
                <w:szCs w:val="18"/>
              </w:rPr>
              <w:t>20.4</w:t>
            </w:r>
          </w:p>
        </w:tc>
        <w:tc>
          <w:tcPr>
            <w:tcW w:w="992" w:type="dxa"/>
            <w:tcBorders>
              <w:top w:val="nil"/>
              <w:left w:val="nil"/>
              <w:bottom w:val="nil"/>
              <w:right w:val="single" w:sz="8" w:space="0" w:color="auto"/>
            </w:tcBorders>
            <w:shd w:val="clear" w:color="auto" w:fill="auto"/>
            <w:noWrap/>
            <w:vAlign w:val="bottom"/>
            <w:hideMark/>
          </w:tcPr>
          <w:p w14:paraId="3B5D5131" w14:textId="22FFC8BE" w:rsidR="002304B7" w:rsidRPr="007337C6" w:rsidRDefault="002304B7" w:rsidP="002304B7">
            <w:pPr>
              <w:spacing w:after="0" w:line="240" w:lineRule="auto"/>
              <w:jc w:val="right"/>
              <w:rPr>
                <w:rFonts w:ascii="Trebuchet MS" w:hAnsi="Trebuchet MS"/>
                <w:color w:val="000000"/>
                <w:sz w:val="18"/>
                <w:szCs w:val="18"/>
              </w:rPr>
            </w:pPr>
            <w:r w:rsidRPr="007337C6">
              <w:rPr>
                <w:rFonts w:ascii="Trebuchet MS" w:hAnsi="Trebuchet MS" w:cs="Calibri"/>
                <w:color w:val="000000"/>
                <w:sz w:val="18"/>
                <w:szCs w:val="18"/>
              </w:rPr>
              <w:t>39.8</w:t>
            </w:r>
          </w:p>
        </w:tc>
      </w:tr>
      <w:tr w:rsidR="002304B7" w:rsidRPr="007337C6" w14:paraId="2471BE71" w14:textId="77777777" w:rsidTr="00165C01">
        <w:trPr>
          <w:trHeight w:val="260"/>
        </w:trPr>
        <w:tc>
          <w:tcPr>
            <w:tcW w:w="3161" w:type="dxa"/>
            <w:tcBorders>
              <w:top w:val="nil"/>
              <w:left w:val="nil"/>
              <w:bottom w:val="nil"/>
              <w:right w:val="nil"/>
            </w:tcBorders>
            <w:shd w:val="clear" w:color="auto" w:fill="auto"/>
            <w:noWrap/>
            <w:vAlign w:val="center"/>
            <w:hideMark/>
          </w:tcPr>
          <w:p w14:paraId="5D54D378" w14:textId="77777777" w:rsidR="002304B7" w:rsidRPr="007337C6" w:rsidRDefault="002304B7" w:rsidP="002304B7">
            <w:pPr>
              <w:spacing w:after="0" w:line="240" w:lineRule="auto"/>
              <w:jc w:val="right"/>
              <w:rPr>
                <w:rFonts w:ascii="Trebuchet MS" w:eastAsia="Times New Roman" w:hAnsi="Trebuchet MS" w:cs="Calibri"/>
                <w:color w:val="000000"/>
                <w:sz w:val="20"/>
                <w:szCs w:val="20"/>
                <w:lang w:eastAsia="en-GB"/>
              </w:rPr>
            </w:pPr>
            <w:r w:rsidRPr="007337C6">
              <w:rPr>
                <w:rFonts w:ascii="Trebuchet MS" w:eastAsia="Times New Roman" w:hAnsi="Trebuchet MS" w:cs="Calibri"/>
                <w:color w:val="000000"/>
                <w:sz w:val="20"/>
                <w:szCs w:val="20"/>
                <w:lang w:eastAsia="en-GB"/>
              </w:rPr>
              <w:t>SCR%</w:t>
            </w:r>
          </w:p>
        </w:tc>
        <w:tc>
          <w:tcPr>
            <w:tcW w:w="1092" w:type="dxa"/>
            <w:tcBorders>
              <w:top w:val="nil"/>
              <w:left w:val="single" w:sz="8" w:space="0" w:color="auto"/>
              <w:bottom w:val="nil"/>
              <w:right w:val="nil"/>
            </w:tcBorders>
            <w:shd w:val="clear" w:color="auto" w:fill="auto"/>
            <w:noWrap/>
            <w:vAlign w:val="bottom"/>
            <w:hideMark/>
          </w:tcPr>
          <w:p w14:paraId="1A418BA5" w14:textId="49C4D300" w:rsidR="002304B7" w:rsidRPr="007337C6" w:rsidRDefault="002304B7" w:rsidP="002304B7">
            <w:pPr>
              <w:spacing w:after="0" w:line="240" w:lineRule="auto"/>
              <w:jc w:val="right"/>
              <w:rPr>
                <w:rFonts w:ascii="Trebuchet MS" w:hAnsi="Trebuchet MS"/>
                <w:color w:val="000000"/>
                <w:sz w:val="18"/>
                <w:szCs w:val="18"/>
              </w:rPr>
            </w:pPr>
            <w:r w:rsidRPr="007337C6">
              <w:rPr>
                <w:rFonts w:ascii="Trebuchet MS" w:hAnsi="Trebuchet MS" w:cs="Calibri"/>
                <w:color w:val="000000"/>
                <w:sz w:val="18"/>
                <w:szCs w:val="18"/>
              </w:rPr>
              <w:t>150%</w:t>
            </w:r>
          </w:p>
        </w:tc>
        <w:tc>
          <w:tcPr>
            <w:tcW w:w="850" w:type="dxa"/>
            <w:tcBorders>
              <w:top w:val="nil"/>
              <w:left w:val="nil"/>
              <w:bottom w:val="nil"/>
              <w:right w:val="nil"/>
            </w:tcBorders>
            <w:shd w:val="clear" w:color="auto" w:fill="auto"/>
            <w:noWrap/>
            <w:vAlign w:val="bottom"/>
            <w:hideMark/>
          </w:tcPr>
          <w:p w14:paraId="5F9705BE" w14:textId="1EDF86C3" w:rsidR="002304B7" w:rsidRPr="007337C6" w:rsidRDefault="002304B7" w:rsidP="002304B7">
            <w:pPr>
              <w:spacing w:after="0" w:line="240" w:lineRule="auto"/>
              <w:jc w:val="right"/>
              <w:rPr>
                <w:rFonts w:ascii="Trebuchet MS" w:hAnsi="Trebuchet MS"/>
                <w:color w:val="000000"/>
                <w:sz w:val="18"/>
                <w:szCs w:val="18"/>
              </w:rPr>
            </w:pPr>
            <w:r w:rsidRPr="007337C6">
              <w:rPr>
                <w:rFonts w:ascii="Trebuchet MS" w:hAnsi="Trebuchet MS" w:cs="Calibri"/>
                <w:color w:val="000000"/>
                <w:sz w:val="18"/>
                <w:szCs w:val="18"/>
              </w:rPr>
              <w:t>196%</w:t>
            </w:r>
          </w:p>
        </w:tc>
        <w:tc>
          <w:tcPr>
            <w:tcW w:w="851" w:type="dxa"/>
            <w:tcBorders>
              <w:top w:val="nil"/>
              <w:left w:val="nil"/>
              <w:bottom w:val="nil"/>
              <w:right w:val="single" w:sz="8" w:space="0" w:color="auto"/>
            </w:tcBorders>
            <w:shd w:val="clear" w:color="auto" w:fill="auto"/>
            <w:noWrap/>
            <w:vAlign w:val="bottom"/>
            <w:hideMark/>
          </w:tcPr>
          <w:p w14:paraId="3FC42AD5" w14:textId="00419F91" w:rsidR="002304B7" w:rsidRPr="007337C6" w:rsidRDefault="002304B7" w:rsidP="002304B7">
            <w:pPr>
              <w:spacing w:after="0" w:line="240" w:lineRule="auto"/>
              <w:jc w:val="right"/>
              <w:rPr>
                <w:rFonts w:ascii="Trebuchet MS" w:hAnsi="Trebuchet MS"/>
                <w:color w:val="000000"/>
                <w:sz w:val="18"/>
                <w:szCs w:val="18"/>
              </w:rPr>
            </w:pPr>
            <w:r w:rsidRPr="007337C6">
              <w:rPr>
                <w:rFonts w:ascii="Trebuchet MS" w:hAnsi="Trebuchet MS" w:cs="Calibri"/>
                <w:color w:val="000000"/>
                <w:sz w:val="18"/>
                <w:szCs w:val="18"/>
              </w:rPr>
              <w:t>n/a</w:t>
            </w:r>
          </w:p>
        </w:tc>
        <w:tc>
          <w:tcPr>
            <w:tcW w:w="850" w:type="dxa"/>
            <w:tcBorders>
              <w:top w:val="nil"/>
              <w:left w:val="nil"/>
              <w:bottom w:val="nil"/>
              <w:right w:val="nil"/>
            </w:tcBorders>
            <w:shd w:val="clear" w:color="auto" w:fill="auto"/>
            <w:noWrap/>
            <w:vAlign w:val="bottom"/>
            <w:hideMark/>
          </w:tcPr>
          <w:p w14:paraId="63ABFAEE" w14:textId="70931E0B" w:rsidR="002304B7" w:rsidRPr="007337C6" w:rsidRDefault="002304B7" w:rsidP="002304B7">
            <w:pPr>
              <w:spacing w:after="0" w:line="240" w:lineRule="auto"/>
              <w:jc w:val="right"/>
              <w:rPr>
                <w:rFonts w:ascii="Trebuchet MS" w:hAnsi="Trebuchet MS"/>
                <w:color w:val="000000"/>
                <w:sz w:val="18"/>
                <w:szCs w:val="18"/>
              </w:rPr>
            </w:pPr>
            <w:r w:rsidRPr="007337C6">
              <w:rPr>
                <w:rFonts w:ascii="Trebuchet MS" w:hAnsi="Trebuchet MS" w:cs="Calibri"/>
                <w:color w:val="000000"/>
                <w:sz w:val="18"/>
                <w:szCs w:val="18"/>
              </w:rPr>
              <w:t>179%</w:t>
            </w:r>
          </w:p>
        </w:tc>
        <w:tc>
          <w:tcPr>
            <w:tcW w:w="993" w:type="dxa"/>
            <w:tcBorders>
              <w:top w:val="nil"/>
              <w:left w:val="nil"/>
              <w:bottom w:val="nil"/>
              <w:right w:val="nil"/>
            </w:tcBorders>
            <w:shd w:val="clear" w:color="auto" w:fill="auto"/>
            <w:noWrap/>
            <w:vAlign w:val="bottom"/>
            <w:hideMark/>
          </w:tcPr>
          <w:p w14:paraId="57C65639" w14:textId="49F50910" w:rsidR="002304B7" w:rsidRPr="002304B7" w:rsidRDefault="002304B7" w:rsidP="002304B7">
            <w:pPr>
              <w:spacing w:after="0" w:line="240" w:lineRule="auto"/>
              <w:jc w:val="right"/>
              <w:rPr>
                <w:rFonts w:ascii="Trebuchet MS" w:hAnsi="Trebuchet MS"/>
                <w:color w:val="000000"/>
                <w:sz w:val="18"/>
                <w:szCs w:val="18"/>
              </w:rPr>
            </w:pPr>
            <w:r w:rsidRPr="003C27AC">
              <w:rPr>
                <w:rFonts w:ascii="Trebuchet MS" w:hAnsi="Trebuchet MS" w:cs="Calibri"/>
                <w:color w:val="000000"/>
                <w:sz w:val="18"/>
                <w:szCs w:val="18"/>
              </w:rPr>
              <w:t>261%</w:t>
            </w:r>
          </w:p>
        </w:tc>
        <w:tc>
          <w:tcPr>
            <w:tcW w:w="992" w:type="dxa"/>
            <w:tcBorders>
              <w:top w:val="nil"/>
              <w:left w:val="nil"/>
              <w:bottom w:val="nil"/>
              <w:right w:val="single" w:sz="8" w:space="0" w:color="auto"/>
            </w:tcBorders>
            <w:shd w:val="clear" w:color="auto" w:fill="auto"/>
            <w:noWrap/>
            <w:vAlign w:val="bottom"/>
            <w:hideMark/>
          </w:tcPr>
          <w:p w14:paraId="6EE6B9C5" w14:textId="17BF8CB3" w:rsidR="002304B7" w:rsidRPr="007337C6" w:rsidRDefault="002304B7" w:rsidP="002304B7">
            <w:pPr>
              <w:spacing w:after="0" w:line="240" w:lineRule="auto"/>
              <w:jc w:val="right"/>
              <w:rPr>
                <w:rFonts w:ascii="Trebuchet MS" w:hAnsi="Trebuchet MS"/>
                <w:color w:val="000000"/>
                <w:sz w:val="18"/>
                <w:szCs w:val="18"/>
              </w:rPr>
            </w:pPr>
            <w:r w:rsidRPr="007337C6">
              <w:rPr>
                <w:rFonts w:ascii="Trebuchet MS" w:hAnsi="Trebuchet MS" w:cs="Calibri"/>
                <w:color w:val="000000"/>
                <w:sz w:val="18"/>
                <w:szCs w:val="18"/>
              </w:rPr>
              <w:t>157%</w:t>
            </w:r>
          </w:p>
        </w:tc>
      </w:tr>
      <w:tr w:rsidR="002304B7" w:rsidRPr="007337C6" w14:paraId="42722E27" w14:textId="77777777" w:rsidTr="003C27AC">
        <w:trPr>
          <w:trHeight w:val="260"/>
        </w:trPr>
        <w:tc>
          <w:tcPr>
            <w:tcW w:w="3161" w:type="dxa"/>
            <w:tcBorders>
              <w:top w:val="nil"/>
              <w:left w:val="nil"/>
              <w:bottom w:val="nil"/>
              <w:right w:val="nil"/>
            </w:tcBorders>
            <w:shd w:val="clear" w:color="auto" w:fill="auto"/>
            <w:noWrap/>
            <w:vAlign w:val="center"/>
            <w:hideMark/>
          </w:tcPr>
          <w:p w14:paraId="3AA3C2E7" w14:textId="77777777" w:rsidR="002304B7" w:rsidRPr="007337C6" w:rsidRDefault="002304B7" w:rsidP="002304B7">
            <w:pPr>
              <w:spacing w:after="0" w:line="240" w:lineRule="auto"/>
              <w:jc w:val="right"/>
              <w:rPr>
                <w:rFonts w:ascii="Trebuchet MS" w:eastAsia="Times New Roman" w:hAnsi="Trebuchet MS" w:cs="Calibri"/>
                <w:color w:val="000000"/>
                <w:sz w:val="20"/>
                <w:szCs w:val="20"/>
                <w:lang w:eastAsia="en-GB"/>
              </w:rPr>
            </w:pPr>
            <w:r w:rsidRPr="007337C6">
              <w:rPr>
                <w:rFonts w:ascii="Trebuchet MS" w:eastAsia="Times New Roman" w:hAnsi="Trebuchet MS" w:cs="Calibri"/>
                <w:color w:val="000000"/>
                <w:sz w:val="20"/>
                <w:szCs w:val="20"/>
                <w:lang w:eastAsia="en-GB"/>
              </w:rPr>
              <w:t>Risk Appetite buffer target</w:t>
            </w:r>
          </w:p>
        </w:tc>
        <w:tc>
          <w:tcPr>
            <w:tcW w:w="1092" w:type="dxa"/>
            <w:tcBorders>
              <w:top w:val="nil"/>
              <w:left w:val="single" w:sz="8" w:space="0" w:color="auto"/>
              <w:bottom w:val="nil"/>
              <w:right w:val="nil"/>
            </w:tcBorders>
            <w:shd w:val="clear" w:color="auto" w:fill="auto"/>
            <w:noWrap/>
            <w:vAlign w:val="bottom"/>
            <w:hideMark/>
          </w:tcPr>
          <w:p w14:paraId="3778E731" w14:textId="2A856E7E" w:rsidR="002304B7" w:rsidRPr="007337C6" w:rsidRDefault="002304B7" w:rsidP="002304B7">
            <w:pPr>
              <w:spacing w:after="0" w:line="240" w:lineRule="auto"/>
              <w:jc w:val="right"/>
              <w:rPr>
                <w:rFonts w:ascii="Trebuchet MS" w:hAnsi="Trebuchet MS"/>
                <w:color w:val="000000"/>
                <w:sz w:val="18"/>
                <w:szCs w:val="18"/>
              </w:rPr>
            </w:pPr>
            <w:r w:rsidRPr="007337C6">
              <w:rPr>
                <w:rFonts w:ascii="Trebuchet MS" w:hAnsi="Trebuchet MS" w:cs="Calibri"/>
                <w:color w:val="000000"/>
                <w:sz w:val="18"/>
                <w:szCs w:val="18"/>
              </w:rPr>
              <w:t>135%</w:t>
            </w:r>
          </w:p>
        </w:tc>
        <w:tc>
          <w:tcPr>
            <w:tcW w:w="850" w:type="dxa"/>
            <w:tcBorders>
              <w:top w:val="nil"/>
              <w:left w:val="nil"/>
              <w:bottom w:val="nil"/>
              <w:right w:val="nil"/>
            </w:tcBorders>
            <w:shd w:val="clear" w:color="auto" w:fill="auto"/>
            <w:noWrap/>
            <w:vAlign w:val="bottom"/>
            <w:hideMark/>
          </w:tcPr>
          <w:p w14:paraId="344A2362" w14:textId="5BECABD7" w:rsidR="002304B7" w:rsidRPr="007337C6" w:rsidRDefault="002304B7" w:rsidP="002304B7">
            <w:pPr>
              <w:spacing w:after="0" w:line="240" w:lineRule="auto"/>
              <w:jc w:val="right"/>
              <w:rPr>
                <w:rFonts w:ascii="Trebuchet MS" w:hAnsi="Trebuchet MS"/>
                <w:color w:val="000000"/>
                <w:sz w:val="18"/>
                <w:szCs w:val="18"/>
              </w:rPr>
            </w:pPr>
            <w:r w:rsidRPr="007337C6">
              <w:rPr>
                <w:rFonts w:ascii="Trebuchet MS" w:hAnsi="Trebuchet MS" w:cs="Calibri"/>
                <w:color w:val="000000"/>
                <w:sz w:val="18"/>
                <w:szCs w:val="18"/>
              </w:rPr>
              <w:t>125%</w:t>
            </w:r>
          </w:p>
        </w:tc>
        <w:tc>
          <w:tcPr>
            <w:tcW w:w="851" w:type="dxa"/>
            <w:tcBorders>
              <w:top w:val="nil"/>
              <w:left w:val="nil"/>
              <w:bottom w:val="nil"/>
              <w:right w:val="single" w:sz="8" w:space="0" w:color="auto"/>
            </w:tcBorders>
            <w:shd w:val="clear" w:color="auto" w:fill="auto"/>
            <w:noWrap/>
            <w:vAlign w:val="bottom"/>
            <w:hideMark/>
          </w:tcPr>
          <w:p w14:paraId="1B3C459D" w14:textId="21894FAB" w:rsidR="002304B7" w:rsidRPr="007337C6" w:rsidRDefault="002304B7" w:rsidP="002304B7">
            <w:pPr>
              <w:spacing w:after="0" w:line="240" w:lineRule="auto"/>
              <w:jc w:val="right"/>
              <w:rPr>
                <w:rFonts w:ascii="Trebuchet MS" w:hAnsi="Trebuchet MS"/>
                <w:color w:val="000000"/>
                <w:sz w:val="18"/>
                <w:szCs w:val="18"/>
              </w:rPr>
            </w:pPr>
            <w:r w:rsidRPr="007337C6">
              <w:rPr>
                <w:rFonts w:ascii="Trebuchet MS" w:hAnsi="Trebuchet MS" w:cs="Calibri"/>
                <w:color w:val="000000"/>
                <w:sz w:val="18"/>
                <w:szCs w:val="18"/>
              </w:rPr>
              <w:t>140%</w:t>
            </w:r>
          </w:p>
        </w:tc>
        <w:tc>
          <w:tcPr>
            <w:tcW w:w="850" w:type="dxa"/>
            <w:tcBorders>
              <w:top w:val="nil"/>
              <w:left w:val="nil"/>
              <w:bottom w:val="nil"/>
              <w:right w:val="nil"/>
            </w:tcBorders>
            <w:shd w:val="clear" w:color="auto" w:fill="auto"/>
            <w:noWrap/>
            <w:vAlign w:val="bottom"/>
            <w:hideMark/>
          </w:tcPr>
          <w:p w14:paraId="724757CC" w14:textId="2BC21090" w:rsidR="002304B7" w:rsidRPr="007337C6" w:rsidRDefault="002304B7" w:rsidP="002304B7">
            <w:pPr>
              <w:spacing w:after="0" w:line="240" w:lineRule="auto"/>
              <w:jc w:val="right"/>
              <w:rPr>
                <w:rFonts w:ascii="Trebuchet MS" w:hAnsi="Trebuchet MS"/>
                <w:color w:val="000000"/>
                <w:sz w:val="18"/>
                <w:szCs w:val="18"/>
              </w:rPr>
            </w:pPr>
            <w:r w:rsidRPr="007337C6">
              <w:rPr>
                <w:rFonts w:ascii="Trebuchet MS" w:hAnsi="Trebuchet MS" w:cs="Calibri"/>
                <w:color w:val="000000"/>
                <w:sz w:val="18"/>
                <w:szCs w:val="18"/>
              </w:rPr>
              <w:t>135%</w:t>
            </w:r>
          </w:p>
        </w:tc>
        <w:tc>
          <w:tcPr>
            <w:tcW w:w="993" w:type="dxa"/>
            <w:tcBorders>
              <w:top w:val="nil"/>
              <w:left w:val="nil"/>
              <w:bottom w:val="nil"/>
              <w:right w:val="nil"/>
            </w:tcBorders>
            <w:shd w:val="clear" w:color="auto" w:fill="auto"/>
            <w:noWrap/>
            <w:vAlign w:val="center"/>
            <w:hideMark/>
          </w:tcPr>
          <w:p w14:paraId="36001D0E" w14:textId="58697F1B" w:rsidR="002304B7" w:rsidRPr="002304B7" w:rsidRDefault="002304B7" w:rsidP="002304B7">
            <w:pPr>
              <w:spacing w:after="0" w:line="240" w:lineRule="auto"/>
              <w:jc w:val="right"/>
              <w:rPr>
                <w:rFonts w:ascii="Trebuchet MS" w:hAnsi="Trebuchet MS"/>
                <w:color w:val="000000"/>
                <w:sz w:val="18"/>
                <w:szCs w:val="18"/>
              </w:rPr>
            </w:pPr>
            <w:r w:rsidRPr="003C27AC">
              <w:rPr>
                <w:rFonts w:ascii="Trebuchet MS" w:hAnsi="Trebuchet MS" w:cs="Calibri"/>
                <w:color w:val="000000"/>
                <w:sz w:val="18"/>
                <w:szCs w:val="18"/>
              </w:rPr>
              <w:t>125%</w:t>
            </w:r>
          </w:p>
        </w:tc>
        <w:tc>
          <w:tcPr>
            <w:tcW w:w="992" w:type="dxa"/>
            <w:tcBorders>
              <w:top w:val="nil"/>
              <w:left w:val="nil"/>
              <w:bottom w:val="nil"/>
              <w:right w:val="single" w:sz="8" w:space="0" w:color="auto"/>
            </w:tcBorders>
            <w:shd w:val="clear" w:color="auto" w:fill="auto"/>
            <w:noWrap/>
            <w:vAlign w:val="bottom"/>
            <w:hideMark/>
          </w:tcPr>
          <w:p w14:paraId="3D6763F3" w14:textId="23C6B377" w:rsidR="002304B7" w:rsidRPr="007337C6" w:rsidRDefault="002304B7" w:rsidP="002304B7">
            <w:pPr>
              <w:spacing w:after="0" w:line="240" w:lineRule="auto"/>
              <w:jc w:val="right"/>
              <w:rPr>
                <w:rFonts w:ascii="Trebuchet MS" w:hAnsi="Trebuchet MS"/>
                <w:color w:val="000000"/>
                <w:sz w:val="18"/>
                <w:szCs w:val="18"/>
              </w:rPr>
            </w:pPr>
            <w:r w:rsidRPr="007337C6">
              <w:rPr>
                <w:rFonts w:ascii="Trebuchet MS" w:hAnsi="Trebuchet MS" w:cs="Calibri"/>
                <w:color w:val="000000"/>
                <w:sz w:val="18"/>
                <w:szCs w:val="18"/>
              </w:rPr>
              <w:t>140%</w:t>
            </w:r>
          </w:p>
        </w:tc>
      </w:tr>
      <w:tr w:rsidR="002304B7" w:rsidRPr="007337C6" w14:paraId="46EE25AB" w14:textId="77777777" w:rsidTr="00165C01">
        <w:trPr>
          <w:trHeight w:val="269"/>
        </w:trPr>
        <w:tc>
          <w:tcPr>
            <w:tcW w:w="3161" w:type="dxa"/>
            <w:tcBorders>
              <w:top w:val="nil"/>
              <w:left w:val="nil"/>
              <w:bottom w:val="nil"/>
              <w:right w:val="nil"/>
            </w:tcBorders>
            <w:shd w:val="clear" w:color="auto" w:fill="auto"/>
            <w:noWrap/>
            <w:vAlign w:val="center"/>
            <w:hideMark/>
          </w:tcPr>
          <w:p w14:paraId="316175F2" w14:textId="77777777" w:rsidR="002304B7" w:rsidRPr="007337C6" w:rsidRDefault="002304B7" w:rsidP="002304B7">
            <w:pPr>
              <w:spacing w:after="0" w:line="240" w:lineRule="auto"/>
              <w:jc w:val="right"/>
              <w:rPr>
                <w:rFonts w:ascii="Trebuchet MS" w:eastAsia="Times New Roman" w:hAnsi="Trebuchet MS" w:cs="Calibri"/>
                <w:color w:val="000000"/>
                <w:sz w:val="20"/>
                <w:szCs w:val="20"/>
                <w:lang w:eastAsia="en-GB"/>
              </w:rPr>
            </w:pPr>
            <w:r w:rsidRPr="007337C6">
              <w:rPr>
                <w:rFonts w:ascii="Trebuchet MS" w:eastAsia="Times New Roman" w:hAnsi="Trebuchet MS" w:cs="Calibri"/>
                <w:color w:val="000000"/>
                <w:sz w:val="20"/>
                <w:szCs w:val="20"/>
                <w:lang w:eastAsia="en-GB"/>
              </w:rPr>
              <w:t>Surplus (over the target buffer)</w:t>
            </w:r>
          </w:p>
        </w:tc>
        <w:tc>
          <w:tcPr>
            <w:tcW w:w="1092" w:type="dxa"/>
            <w:tcBorders>
              <w:top w:val="nil"/>
              <w:left w:val="single" w:sz="8" w:space="0" w:color="auto"/>
              <w:bottom w:val="single" w:sz="8" w:space="0" w:color="auto"/>
              <w:right w:val="nil"/>
            </w:tcBorders>
            <w:shd w:val="clear" w:color="auto" w:fill="auto"/>
            <w:noWrap/>
            <w:vAlign w:val="bottom"/>
            <w:hideMark/>
          </w:tcPr>
          <w:p w14:paraId="02F68E59" w14:textId="18DF8F8F" w:rsidR="002304B7" w:rsidRPr="007337C6" w:rsidRDefault="002304B7" w:rsidP="002304B7">
            <w:pPr>
              <w:spacing w:after="0" w:line="240" w:lineRule="auto"/>
              <w:jc w:val="right"/>
              <w:rPr>
                <w:rFonts w:ascii="Trebuchet MS" w:hAnsi="Trebuchet MS"/>
                <w:color w:val="000000"/>
                <w:sz w:val="18"/>
                <w:szCs w:val="18"/>
              </w:rPr>
            </w:pPr>
            <w:r w:rsidRPr="007337C6">
              <w:rPr>
                <w:rFonts w:ascii="Trebuchet MS" w:hAnsi="Trebuchet MS" w:cs="Calibri"/>
                <w:color w:val="000000"/>
                <w:sz w:val="18"/>
                <w:szCs w:val="18"/>
              </w:rPr>
              <w:t>9.3</w:t>
            </w:r>
          </w:p>
        </w:tc>
        <w:tc>
          <w:tcPr>
            <w:tcW w:w="850" w:type="dxa"/>
            <w:tcBorders>
              <w:top w:val="nil"/>
              <w:left w:val="nil"/>
              <w:bottom w:val="single" w:sz="8" w:space="0" w:color="auto"/>
              <w:right w:val="nil"/>
            </w:tcBorders>
            <w:shd w:val="clear" w:color="auto" w:fill="auto"/>
            <w:noWrap/>
            <w:vAlign w:val="bottom"/>
            <w:hideMark/>
          </w:tcPr>
          <w:p w14:paraId="47BFA01B" w14:textId="539324AF" w:rsidR="002304B7" w:rsidRPr="007337C6" w:rsidRDefault="002304B7" w:rsidP="002304B7">
            <w:pPr>
              <w:spacing w:after="0" w:line="240" w:lineRule="auto"/>
              <w:jc w:val="right"/>
              <w:rPr>
                <w:rFonts w:ascii="Trebuchet MS" w:hAnsi="Trebuchet MS"/>
                <w:color w:val="000000"/>
                <w:sz w:val="18"/>
                <w:szCs w:val="18"/>
              </w:rPr>
            </w:pPr>
            <w:r w:rsidRPr="007337C6">
              <w:rPr>
                <w:rFonts w:ascii="Trebuchet MS" w:hAnsi="Trebuchet MS" w:cs="Calibri"/>
                <w:color w:val="000000"/>
                <w:sz w:val="18"/>
                <w:szCs w:val="18"/>
              </w:rPr>
              <w:t>33.0</w:t>
            </w:r>
          </w:p>
        </w:tc>
        <w:tc>
          <w:tcPr>
            <w:tcW w:w="851" w:type="dxa"/>
            <w:tcBorders>
              <w:top w:val="nil"/>
              <w:left w:val="nil"/>
              <w:bottom w:val="single" w:sz="8" w:space="0" w:color="auto"/>
              <w:right w:val="single" w:sz="8" w:space="0" w:color="auto"/>
            </w:tcBorders>
            <w:shd w:val="clear" w:color="auto" w:fill="auto"/>
            <w:noWrap/>
            <w:vAlign w:val="bottom"/>
            <w:hideMark/>
          </w:tcPr>
          <w:p w14:paraId="1D6E195C" w14:textId="4EF32F35" w:rsidR="002304B7" w:rsidRPr="007337C6" w:rsidRDefault="002304B7" w:rsidP="002304B7">
            <w:pPr>
              <w:spacing w:after="0" w:line="240" w:lineRule="auto"/>
              <w:jc w:val="right"/>
              <w:rPr>
                <w:rFonts w:ascii="Trebuchet MS" w:hAnsi="Trebuchet MS"/>
                <w:color w:val="000000"/>
                <w:sz w:val="18"/>
                <w:szCs w:val="18"/>
              </w:rPr>
            </w:pPr>
            <w:r w:rsidRPr="007337C6">
              <w:rPr>
                <w:rFonts w:ascii="Trebuchet MS" w:hAnsi="Trebuchet MS" w:cs="Calibri"/>
                <w:color w:val="000000"/>
                <w:sz w:val="18"/>
                <w:szCs w:val="18"/>
              </w:rPr>
              <w:t>37.4</w:t>
            </w:r>
          </w:p>
        </w:tc>
        <w:tc>
          <w:tcPr>
            <w:tcW w:w="850" w:type="dxa"/>
            <w:tcBorders>
              <w:top w:val="nil"/>
              <w:left w:val="nil"/>
              <w:bottom w:val="single" w:sz="8" w:space="0" w:color="auto"/>
              <w:right w:val="nil"/>
            </w:tcBorders>
            <w:shd w:val="clear" w:color="auto" w:fill="auto"/>
            <w:noWrap/>
            <w:vAlign w:val="bottom"/>
            <w:hideMark/>
          </w:tcPr>
          <w:p w14:paraId="23CF97F8" w14:textId="6266D1BA" w:rsidR="002304B7" w:rsidRPr="007337C6" w:rsidRDefault="002304B7" w:rsidP="002304B7">
            <w:pPr>
              <w:spacing w:after="0" w:line="240" w:lineRule="auto"/>
              <w:jc w:val="right"/>
              <w:rPr>
                <w:rFonts w:ascii="Trebuchet MS" w:hAnsi="Trebuchet MS"/>
                <w:color w:val="000000"/>
                <w:sz w:val="18"/>
                <w:szCs w:val="18"/>
              </w:rPr>
            </w:pPr>
            <w:r w:rsidRPr="007337C6">
              <w:rPr>
                <w:rFonts w:ascii="Trebuchet MS" w:hAnsi="Trebuchet MS" w:cs="Calibri"/>
                <w:color w:val="000000"/>
                <w:sz w:val="18"/>
                <w:szCs w:val="18"/>
              </w:rPr>
              <w:t>25.7</w:t>
            </w:r>
          </w:p>
        </w:tc>
        <w:tc>
          <w:tcPr>
            <w:tcW w:w="993" w:type="dxa"/>
            <w:tcBorders>
              <w:top w:val="nil"/>
              <w:left w:val="nil"/>
              <w:bottom w:val="single" w:sz="8" w:space="0" w:color="auto"/>
              <w:right w:val="nil"/>
            </w:tcBorders>
            <w:shd w:val="clear" w:color="auto" w:fill="auto"/>
            <w:noWrap/>
            <w:vAlign w:val="bottom"/>
            <w:hideMark/>
          </w:tcPr>
          <w:p w14:paraId="6E05CBC0" w14:textId="623E15E8" w:rsidR="002304B7" w:rsidRPr="002304B7" w:rsidRDefault="002304B7" w:rsidP="002304B7">
            <w:pPr>
              <w:spacing w:after="0" w:line="240" w:lineRule="auto"/>
              <w:jc w:val="right"/>
              <w:rPr>
                <w:rFonts w:ascii="Trebuchet MS" w:hAnsi="Trebuchet MS"/>
                <w:color w:val="000000"/>
                <w:sz w:val="18"/>
                <w:szCs w:val="18"/>
              </w:rPr>
            </w:pPr>
            <w:r w:rsidRPr="003C27AC">
              <w:rPr>
                <w:rFonts w:ascii="Trebuchet MS" w:hAnsi="Trebuchet MS" w:cs="Calibri"/>
                <w:color w:val="000000"/>
                <w:sz w:val="18"/>
                <w:szCs w:val="18"/>
              </w:rPr>
              <w:t>27.8</w:t>
            </w:r>
          </w:p>
        </w:tc>
        <w:tc>
          <w:tcPr>
            <w:tcW w:w="992" w:type="dxa"/>
            <w:tcBorders>
              <w:top w:val="nil"/>
              <w:left w:val="nil"/>
              <w:bottom w:val="single" w:sz="8" w:space="0" w:color="auto"/>
              <w:right w:val="single" w:sz="8" w:space="0" w:color="auto"/>
            </w:tcBorders>
            <w:shd w:val="clear" w:color="auto" w:fill="auto"/>
            <w:noWrap/>
            <w:vAlign w:val="bottom"/>
            <w:hideMark/>
          </w:tcPr>
          <w:p w14:paraId="6F66699A" w14:textId="231665C3" w:rsidR="002304B7" w:rsidRPr="007337C6" w:rsidRDefault="002304B7" w:rsidP="002304B7">
            <w:pPr>
              <w:spacing w:after="0" w:line="240" w:lineRule="auto"/>
              <w:jc w:val="right"/>
              <w:rPr>
                <w:rFonts w:ascii="Trebuchet MS" w:hAnsi="Trebuchet MS"/>
                <w:color w:val="000000"/>
                <w:sz w:val="18"/>
                <w:szCs w:val="18"/>
              </w:rPr>
            </w:pPr>
            <w:r w:rsidRPr="007337C6">
              <w:rPr>
                <w:rFonts w:ascii="Trebuchet MS" w:hAnsi="Trebuchet MS" w:cs="Calibri"/>
                <w:color w:val="000000"/>
                <w:sz w:val="18"/>
                <w:szCs w:val="18"/>
              </w:rPr>
              <w:t>6.7</w:t>
            </w:r>
          </w:p>
        </w:tc>
      </w:tr>
    </w:tbl>
    <w:p w14:paraId="48E9CE02" w14:textId="4C90FE83" w:rsidR="003A0756" w:rsidRPr="007337C6" w:rsidRDefault="003A0756" w:rsidP="00B5481E">
      <w:pPr>
        <w:pStyle w:val="BodyTextAfterTableGraphic"/>
        <w:tabs>
          <w:tab w:val="clear" w:pos="360"/>
          <w:tab w:val="clear" w:pos="720"/>
        </w:tabs>
        <w:spacing w:before="0" w:after="0" w:line="240" w:lineRule="auto"/>
        <w:rPr>
          <w:rFonts w:ascii="Trebuchet MS" w:hAnsi="Trebuchet MS"/>
          <w:sz w:val="20"/>
          <w:szCs w:val="20"/>
        </w:rPr>
      </w:pPr>
    </w:p>
    <w:p w14:paraId="4E490ABF" w14:textId="6ADB0802" w:rsidR="00D52F35" w:rsidRDefault="00D52F35" w:rsidP="00D52F35">
      <w:pPr>
        <w:pStyle w:val="BodyTextAfterTableGraphic"/>
        <w:tabs>
          <w:tab w:val="clear" w:pos="360"/>
          <w:tab w:val="clear" w:pos="720"/>
        </w:tabs>
        <w:spacing w:before="0" w:after="0" w:line="240" w:lineRule="auto"/>
        <w:rPr>
          <w:rFonts w:ascii="Trebuchet MS" w:hAnsi="Trebuchet MS"/>
          <w:sz w:val="20"/>
          <w:szCs w:val="20"/>
        </w:rPr>
      </w:pPr>
      <w:r w:rsidRPr="007337C6">
        <w:rPr>
          <w:rFonts w:ascii="Trebuchet MS" w:hAnsi="Trebuchet MS"/>
          <w:sz w:val="20"/>
          <w:szCs w:val="20"/>
        </w:rPr>
        <w:lastRenderedPageBreak/>
        <w:t xml:space="preserve">It can be seen from the table above that all legal entities involved in the Transfer are well capitalised and remain strongly capitalised after the Transfer. </w:t>
      </w:r>
    </w:p>
    <w:p w14:paraId="6FCF305B" w14:textId="77777777" w:rsidR="00775262" w:rsidRPr="007337C6" w:rsidRDefault="00775262" w:rsidP="00D52F35">
      <w:pPr>
        <w:pStyle w:val="BodyTextAfterTableGraphic"/>
        <w:tabs>
          <w:tab w:val="clear" w:pos="360"/>
          <w:tab w:val="clear" w:pos="720"/>
        </w:tabs>
        <w:spacing w:before="0" w:after="0" w:line="240" w:lineRule="auto"/>
        <w:rPr>
          <w:rFonts w:ascii="Trebuchet MS" w:hAnsi="Trebuchet MS"/>
          <w:sz w:val="20"/>
          <w:szCs w:val="20"/>
        </w:rPr>
      </w:pPr>
    </w:p>
    <w:p w14:paraId="40DD3A24" w14:textId="4B292E68" w:rsidR="00B2600C" w:rsidRPr="007337C6" w:rsidRDefault="00B2600C" w:rsidP="00D52F35">
      <w:pPr>
        <w:pStyle w:val="BodyTextAfterTableGraphic"/>
        <w:tabs>
          <w:tab w:val="clear" w:pos="360"/>
          <w:tab w:val="clear" w:pos="720"/>
        </w:tabs>
        <w:spacing w:before="0" w:after="0" w:line="240" w:lineRule="auto"/>
        <w:rPr>
          <w:rFonts w:ascii="Trebuchet MS" w:hAnsi="Trebuchet MS"/>
          <w:sz w:val="20"/>
          <w:szCs w:val="20"/>
        </w:rPr>
      </w:pPr>
    </w:p>
    <w:p w14:paraId="6B8AEC37" w14:textId="7E9D4943" w:rsidR="00B2600C" w:rsidRPr="007337C6" w:rsidRDefault="00B2600C" w:rsidP="00B2600C">
      <w:pPr>
        <w:pStyle w:val="BodyTextAfterTableGraphic"/>
        <w:tabs>
          <w:tab w:val="clear" w:pos="360"/>
          <w:tab w:val="clear" w:pos="720"/>
        </w:tabs>
        <w:spacing w:before="0" w:after="0" w:line="240" w:lineRule="auto"/>
        <w:rPr>
          <w:rFonts w:ascii="Trebuchet MS" w:hAnsi="Trebuchet MS"/>
          <w:b/>
          <w:bCs/>
          <w:sz w:val="20"/>
          <w:szCs w:val="20"/>
          <w:u w:val="single"/>
        </w:rPr>
      </w:pPr>
      <w:r w:rsidRPr="007337C6">
        <w:rPr>
          <w:rFonts w:ascii="Trebuchet MS" w:hAnsi="Trebuchet MS"/>
          <w:b/>
          <w:bCs/>
          <w:sz w:val="20"/>
          <w:szCs w:val="20"/>
          <w:u w:val="single"/>
        </w:rPr>
        <w:t>2Q20</w:t>
      </w:r>
    </w:p>
    <w:p w14:paraId="2BD06019" w14:textId="02DB6317" w:rsidR="00B2600C" w:rsidRPr="007337C6" w:rsidRDefault="00B2600C" w:rsidP="00B2600C">
      <w:pPr>
        <w:pStyle w:val="BodyTextAfterTableGraphic"/>
        <w:tabs>
          <w:tab w:val="clear" w:pos="360"/>
          <w:tab w:val="clear" w:pos="720"/>
        </w:tabs>
        <w:spacing w:before="0" w:after="0" w:line="240" w:lineRule="auto"/>
        <w:rPr>
          <w:rFonts w:ascii="Trebuchet MS" w:hAnsi="Trebuchet MS"/>
          <w:sz w:val="20"/>
          <w:szCs w:val="20"/>
        </w:rPr>
      </w:pPr>
      <w:r w:rsidRPr="007337C6">
        <w:rPr>
          <w:rFonts w:ascii="Trebuchet MS" w:hAnsi="Trebuchet MS"/>
          <w:sz w:val="20"/>
          <w:szCs w:val="20"/>
        </w:rPr>
        <w:t xml:space="preserve">For the “as-if” Transfer as at 2Q20 (with the impact of </w:t>
      </w:r>
      <w:r w:rsidR="005E55C1">
        <w:rPr>
          <w:rFonts w:ascii="Trebuchet MS" w:hAnsi="Trebuchet MS"/>
          <w:sz w:val="20"/>
          <w:szCs w:val="20"/>
        </w:rPr>
        <w:t>COVID-19</w:t>
      </w:r>
      <w:r w:rsidRPr="007337C6">
        <w:rPr>
          <w:rFonts w:ascii="Trebuchet MS" w:hAnsi="Trebuchet MS"/>
          <w:sz w:val="20"/>
          <w:szCs w:val="20"/>
        </w:rPr>
        <w:t>), the capital position is as follows:</w:t>
      </w:r>
    </w:p>
    <w:p w14:paraId="74036B0E" w14:textId="77777777" w:rsidR="00B2600C" w:rsidRPr="007337C6" w:rsidRDefault="00B2600C" w:rsidP="00B2600C">
      <w:pPr>
        <w:pStyle w:val="BodyTextAfterTableGraphic"/>
        <w:tabs>
          <w:tab w:val="clear" w:pos="360"/>
          <w:tab w:val="clear" w:pos="720"/>
        </w:tabs>
        <w:spacing w:before="0" w:after="0" w:line="240" w:lineRule="auto"/>
        <w:rPr>
          <w:rFonts w:ascii="Trebuchet MS" w:hAnsi="Trebuchet MS"/>
          <w:sz w:val="20"/>
          <w:szCs w:val="20"/>
        </w:rPr>
      </w:pPr>
    </w:p>
    <w:tbl>
      <w:tblPr>
        <w:tblW w:w="8789" w:type="dxa"/>
        <w:tblLook w:val="04A0" w:firstRow="1" w:lastRow="0" w:firstColumn="1" w:lastColumn="0" w:noHBand="0" w:noVBand="1"/>
      </w:tblPr>
      <w:tblGrid>
        <w:gridCol w:w="3161"/>
        <w:gridCol w:w="1092"/>
        <w:gridCol w:w="850"/>
        <w:gridCol w:w="851"/>
        <w:gridCol w:w="850"/>
        <w:gridCol w:w="993"/>
        <w:gridCol w:w="992"/>
      </w:tblGrid>
      <w:tr w:rsidR="00B2600C" w:rsidRPr="007337C6" w14:paraId="145BC200" w14:textId="77777777" w:rsidTr="00B2600C">
        <w:trPr>
          <w:trHeight w:val="269"/>
        </w:trPr>
        <w:tc>
          <w:tcPr>
            <w:tcW w:w="3161" w:type="dxa"/>
            <w:tcBorders>
              <w:top w:val="nil"/>
              <w:left w:val="nil"/>
              <w:bottom w:val="nil"/>
              <w:right w:val="nil"/>
            </w:tcBorders>
            <w:shd w:val="clear" w:color="auto" w:fill="auto"/>
            <w:noWrap/>
            <w:vAlign w:val="center"/>
            <w:hideMark/>
          </w:tcPr>
          <w:p w14:paraId="422EFF55" w14:textId="77777777" w:rsidR="00B2600C" w:rsidRPr="007337C6" w:rsidRDefault="00B2600C" w:rsidP="00B2600C">
            <w:pPr>
              <w:spacing w:after="0" w:line="240" w:lineRule="auto"/>
              <w:jc w:val="right"/>
              <w:rPr>
                <w:rFonts w:ascii="Trebuchet MS" w:eastAsia="Times New Roman" w:hAnsi="Trebuchet MS" w:cs="Calibri"/>
                <w:color w:val="000000"/>
                <w:sz w:val="20"/>
                <w:szCs w:val="20"/>
                <w:lang w:eastAsia="en-GB"/>
              </w:rPr>
            </w:pPr>
            <w:r w:rsidRPr="007337C6">
              <w:rPr>
                <w:rFonts w:ascii="Trebuchet MS" w:eastAsia="Times New Roman" w:hAnsi="Trebuchet MS" w:cs="Calibri"/>
                <w:color w:val="000000"/>
                <w:sz w:val="20"/>
                <w:szCs w:val="20"/>
                <w:lang w:eastAsia="en-GB"/>
              </w:rPr>
              <w:t>£m</w:t>
            </w:r>
          </w:p>
        </w:tc>
        <w:tc>
          <w:tcPr>
            <w:tcW w:w="2793" w:type="dxa"/>
            <w:gridSpan w:val="3"/>
            <w:tcBorders>
              <w:top w:val="single" w:sz="8" w:space="0" w:color="auto"/>
              <w:left w:val="single" w:sz="8" w:space="0" w:color="auto"/>
              <w:bottom w:val="nil"/>
              <w:right w:val="single" w:sz="8" w:space="0" w:color="auto"/>
            </w:tcBorders>
            <w:shd w:val="clear" w:color="auto" w:fill="auto"/>
            <w:noWrap/>
            <w:vAlign w:val="center"/>
            <w:hideMark/>
          </w:tcPr>
          <w:p w14:paraId="2006347A" w14:textId="7C7CBDD9" w:rsidR="00B2600C" w:rsidRPr="007337C6" w:rsidRDefault="00B2600C" w:rsidP="00B2600C">
            <w:pPr>
              <w:spacing w:after="0" w:line="240" w:lineRule="auto"/>
              <w:jc w:val="center"/>
              <w:rPr>
                <w:rFonts w:ascii="Trebuchet MS" w:eastAsia="Times New Roman" w:hAnsi="Trebuchet MS" w:cs="Calibri"/>
                <w:color w:val="000000"/>
                <w:sz w:val="20"/>
                <w:szCs w:val="20"/>
                <w:lang w:eastAsia="en-GB"/>
              </w:rPr>
            </w:pPr>
            <w:r w:rsidRPr="007337C6">
              <w:rPr>
                <w:rFonts w:ascii="Trebuchet MS" w:eastAsia="Times New Roman" w:hAnsi="Trebuchet MS" w:cs="Calibri"/>
                <w:color w:val="000000"/>
                <w:sz w:val="20"/>
                <w:szCs w:val="20"/>
                <w:lang w:eastAsia="en-GB"/>
              </w:rPr>
              <w:t>Pre-Transfer (as at 2Q20)</w:t>
            </w:r>
          </w:p>
        </w:tc>
        <w:tc>
          <w:tcPr>
            <w:tcW w:w="2835" w:type="dxa"/>
            <w:gridSpan w:val="3"/>
            <w:tcBorders>
              <w:top w:val="single" w:sz="8" w:space="0" w:color="auto"/>
              <w:left w:val="nil"/>
              <w:bottom w:val="nil"/>
              <w:right w:val="single" w:sz="8" w:space="0" w:color="000000"/>
            </w:tcBorders>
            <w:shd w:val="clear" w:color="auto" w:fill="auto"/>
            <w:noWrap/>
            <w:vAlign w:val="center"/>
            <w:hideMark/>
          </w:tcPr>
          <w:p w14:paraId="2917E292" w14:textId="54394917" w:rsidR="00B2600C" w:rsidRPr="007337C6" w:rsidRDefault="00B2600C" w:rsidP="00B2600C">
            <w:pPr>
              <w:spacing w:after="0" w:line="240" w:lineRule="auto"/>
              <w:jc w:val="center"/>
              <w:rPr>
                <w:rFonts w:ascii="Trebuchet MS" w:eastAsia="Times New Roman" w:hAnsi="Trebuchet MS" w:cs="Calibri"/>
                <w:color w:val="000000"/>
                <w:sz w:val="20"/>
                <w:szCs w:val="20"/>
                <w:lang w:eastAsia="en-GB"/>
              </w:rPr>
            </w:pPr>
            <w:r w:rsidRPr="007337C6">
              <w:rPr>
                <w:rFonts w:ascii="Trebuchet MS" w:eastAsia="Times New Roman" w:hAnsi="Trebuchet MS" w:cs="Calibri"/>
                <w:color w:val="000000"/>
                <w:sz w:val="20"/>
                <w:szCs w:val="20"/>
                <w:lang w:eastAsia="en-GB"/>
              </w:rPr>
              <w:t>Post-Transfer (as at 2Q20 + impact of Transfer)</w:t>
            </w:r>
          </w:p>
        </w:tc>
      </w:tr>
      <w:tr w:rsidR="00B2600C" w:rsidRPr="007337C6" w14:paraId="7D3048E0" w14:textId="77777777" w:rsidTr="00B2600C">
        <w:trPr>
          <w:trHeight w:val="269"/>
        </w:trPr>
        <w:tc>
          <w:tcPr>
            <w:tcW w:w="3161" w:type="dxa"/>
            <w:tcBorders>
              <w:top w:val="nil"/>
              <w:left w:val="nil"/>
              <w:bottom w:val="nil"/>
              <w:right w:val="nil"/>
            </w:tcBorders>
            <w:shd w:val="clear" w:color="auto" w:fill="auto"/>
            <w:noWrap/>
            <w:vAlign w:val="bottom"/>
            <w:hideMark/>
          </w:tcPr>
          <w:p w14:paraId="1F2E2E01" w14:textId="77777777" w:rsidR="00B2600C" w:rsidRPr="007337C6" w:rsidRDefault="00B2600C" w:rsidP="00B2600C">
            <w:pPr>
              <w:spacing w:after="0" w:line="240" w:lineRule="auto"/>
              <w:rPr>
                <w:rFonts w:ascii="Trebuchet MS" w:eastAsia="Times New Roman" w:hAnsi="Trebuchet MS" w:cs="Calibri"/>
                <w:color w:val="000000"/>
                <w:sz w:val="20"/>
                <w:szCs w:val="20"/>
                <w:lang w:eastAsia="en-GB"/>
              </w:rPr>
            </w:pPr>
          </w:p>
        </w:tc>
        <w:tc>
          <w:tcPr>
            <w:tcW w:w="1092" w:type="dxa"/>
            <w:tcBorders>
              <w:top w:val="single" w:sz="8" w:space="0" w:color="auto"/>
              <w:left w:val="single" w:sz="8" w:space="0" w:color="auto"/>
              <w:bottom w:val="single" w:sz="8" w:space="0" w:color="auto"/>
              <w:right w:val="nil"/>
            </w:tcBorders>
            <w:shd w:val="clear" w:color="000000" w:fill="D9D9D9"/>
            <w:noWrap/>
            <w:vAlign w:val="center"/>
            <w:hideMark/>
          </w:tcPr>
          <w:p w14:paraId="49A79216" w14:textId="77777777" w:rsidR="00B2600C" w:rsidRPr="007337C6" w:rsidRDefault="00B2600C" w:rsidP="00B2600C">
            <w:pPr>
              <w:spacing w:after="0" w:line="240" w:lineRule="auto"/>
              <w:jc w:val="right"/>
              <w:rPr>
                <w:rFonts w:ascii="Trebuchet MS" w:eastAsia="Times New Roman" w:hAnsi="Trebuchet MS" w:cs="Calibri"/>
                <w:color w:val="000000"/>
                <w:sz w:val="20"/>
                <w:szCs w:val="20"/>
                <w:lang w:eastAsia="en-GB"/>
              </w:rPr>
            </w:pPr>
            <w:r w:rsidRPr="007337C6">
              <w:rPr>
                <w:rFonts w:ascii="Trebuchet MS" w:eastAsia="Times New Roman" w:hAnsi="Trebuchet MS" w:cs="Calibri"/>
                <w:color w:val="000000"/>
                <w:sz w:val="20"/>
                <w:szCs w:val="20"/>
                <w:lang w:eastAsia="en-GB"/>
              </w:rPr>
              <w:t>AGIL</w:t>
            </w:r>
          </w:p>
        </w:tc>
        <w:tc>
          <w:tcPr>
            <w:tcW w:w="850" w:type="dxa"/>
            <w:tcBorders>
              <w:top w:val="single" w:sz="8" w:space="0" w:color="auto"/>
              <w:left w:val="nil"/>
              <w:bottom w:val="single" w:sz="8" w:space="0" w:color="auto"/>
              <w:right w:val="nil"/>
            </w:tcBorders>
            <w:shd w:val="clear" w:color="000000" w:fill="D9D9D9"/>
            <w:noWrap/>
            <w:vAlign w:val="center"/>
            <w:hideMark/>
          </w:tcPr>
          <w:p w14:paraId="3C9C38E6" w14:textId="77777777" w:rsidR="00B2600C" w:rsidRPr="007337C6" w:rsidRDefault="00B2600C" w:rsidP="00B2600C">
            <w:pPr>
              <w:spacing w:after="0" w:line="240" w:lineRule="auto"/>
              <w:jc w:val="right"/>
              <w:rPr>
                <w:rFonts w:ascii="Trebuchet MS" w:eastAsia="Times New Roman" w:hAnsi="Trebuchet MS" w:cs="Calibri"/>
                <w:color w:val="000000"/>
                <w:sz w:val="20"/>
                <w:szCs w:val="20"/>
                <w:lang w:eastAsia="en-GB"/>
              </w:rPr>
            </w:pPr>
            <w:r w:rsidRPr="007337C6">
              <w:rPr>
                <w:rFonts w:ascii="Trebuchet MS" w:eastAsia="Times New Roman" w:hAnsi="Trebuchet MS" w:cs="Calibri"/>
                <w:color w:val="000000"/>
                <w:sz w:val="20"/>
                <w:szCs w:val="20"/>
                <w:lang w:eastAsia="en-GB"/>
              </w:rPr>
              <w:t>LGI</w:t>
            </w:r>
          </w:p>
        </w:tc>
        <w:tc>
          <w:tcPr>
            <w:tcW w:w="851" w:type="dxa"/>
            <w:tcBorders>
              <w:top w:val="single" w:sz="8" w:space="0" w:color="auto"/>
              <w:left w:val="nil"/>
              <w:bottom w:val="single" w:sz="8" w:space="0" w:color="auto"/>
              <w:right w:val="single" w:sz="8" w:space="0" w:color="auto"/>
            </w:tcBorders>
            <w:shd w:val="clear" w:color="000000" w:fill="D9D9D9"/>
            <w:noWrap/>
            <w:vAlign w:val="center"/>
            <w:hideMark/>
          </w:tcPr>
          <w:p w14:paraId="503FA067" w14:textId="77777777" w:rsidR="00B2600C" w:rsidRPr="007337C6" w:rsidRDefault="00B2600C" w:rsidP="00B2600C">
            <w:pPr>
              <w:spacing w:after="0" w:line="240" w:lineRule="auto"/>
              <w:jc w:val="right"/>
              <w:rPr>
                <w:rFonts w:ascii="Trebuchet MS" w:eastAsia="Times New Roman" w:hAnsi="Trebuchet MS" w:cs="Calibri"/>
                <w:color w:val="000000"/>
                <w:sz w:val="20"/>
                <w:szCs w:val="20"/>
                <w:lang w:eastAsia="en-GB"/>
              </w:rPr>
            </w:pPr>
            <w:r w:rsidRPr="007337C6">
              <w:rPr>
                <w:rFonts w:ascii="Trebuchet MS" w:eastAsia="Times New Roman" w:hAnsi="Trebuchet MS" w:cs="Calibri"/>
                <w:color w:val="000000"/>
                <w:sz w:val="20"/>
                <w:szCs w:val="20"/>
                <w:lang w:eastAsia="en-GB"/>
              </w:rPr>
              <w:t>AEI</w:t>
            </w:r>
          </w:p>
        </w:tc>
        <w:tc>
          <w:tcPr>
            <w:tcW w:w="850" w:type="dxa"/>
            <w:tcBorders>
              <w:top w:val="single" w:sz="8" w:space="0" w:color="auto"/>
              <w:left w:val="nil"/>
              <w:bottom w:val="single" w:sz="8" w:space="0" w:color="auto"/>
              <w:right w:val="nil"/>
            </w:tcBorders>
            <w:shd w:val="clear" w:color="000000" w:fill="D9D9D9"/>
            <w:noWrap/>
            <w:vAlign w:val="center"/>
            <w:hideMark/>
          </w:tcPr>
          <w:p w14:paraId="33F968E2" w14:textId="77777777" w:rsidR="00B2600C" w:rsidRPr="007337C6" w:rsidRDefault="00B2600C" w:rsidP="00B2600C">
            <w:pPr>
              <w:spacing w:after="0" w:line="240" w:lineRule="auto"/>
              <w:jc w:val="right"/>
              <w:rPr>
                <w:rFonts w:ascii="Trebuchet MS" w:eastAsia="Times New Roman" w:hAnsi="Trebuchet MS" w:cs="Calibri"/>
                <w:color w:val="000000"/>
                <w:sz w:val="20"/>
                <w:szCs w:val="20"/>
                <w:lang w:eastAsia="en-GB"/>
              </w:rPr>
            </w:pPr>
            <w:r w:rsidRPr="007337C6">
              <w:rPr>
                <w:rFonts w:ascii="Trebuchet MS" w:eastAsia="Times New Roman" w:hAnsi="Trebuchet MS" w:cs="Calibri"/>
                <w:color w:val="000000"/>
                <w:sz w:val="20"/>
                <w:szCs w:val="20"/>
                <w:lang w:eastAsia="en-GB"/>
              </w:rPr>
              <w:t>AGIL</w:t>
            </w:r>
          </w:p>
        </w:tc>
        <w:tc>
          <w:tcPr>
            <w:tcW w:w="993" w:type="dxa"/>
            <w:tcBorders>
              <w:top w:val="single" w:sz="8" w:space="0" w:color="auto"/>
              <w:left w:val="nil"/>
              <w:bottom w:val="single" w:sz="8" w:space="0" w:color="auto"/>
              <w:right w:val="nil"/>
            </w:tcBorders>
            <w:shd w:val="clear" w:color="000000" w:fill="D9D9D9"/>
            <w:noWrap/>
            <w:vAlign w:val="center"/>
            <w:hideMark/>
          </w:tcPr>
          <w:p w14:paraId="02397B4D" w14:textId="77777777" w:rsidR="00B2600C" w:rsidRPr="007337C6" w:rsidRDefault="00B2600C" w:rsidP="00B2600C">
            <w:pPr>
              <w:spacing w:after="0" w:line="240" w:lineRule="auto"/>
              <w:jc w:val="right"/>
              <w:rPr>
                <w:rFonts w:ascii="Trebuchet MS" w:eastAsia="Times New Roman" w:hAnsi="Trebuchet MS" w:cs="Calibri"/>
                <w:color w:val="000000"/>
                <w:sz w:val="20"/>
                <w:szCs w:val="20"/>
                <w:lang w:eastAsia="en-GB"/>
              </w:rPr>
            </w:pPr>
            <w:r w:rsidRPr="007337C6">
              <w:rPr>
                <w:rFonts w:ascii="Trebuchet MS" w:eastAsia="Times New Roman" w:hAnsi="Trebuchet MS" w:cs="Calibri"/>
                <w:color w:val="000000"/>
                <w:sz w:val="20"/>
                <w:szCs w:val="20"/>
                <w:lang w:eastAsia="en-GB"/>
              </w:rPr>
              <w:t>LGI</w:t>
            </w:r>
          </w:p>
        </w:tc>
        <w:tc>
          <w:tcPr>
            <w:tcW w:w="992" w:type="dxa"/>
            <w:tcBorders>
              <w:top w:val="single" w:sz="8" w:space="0" w:color="auto"/>
              <w:left w:val="nil"/>
              <w:bottom w:val="single" w:sz="8" w:space="0" w:color="auto"/>
              <w:right w:val="single" w:sz="8" w:space="0" w:color="auto"/>
            </w:tcBorders>
            <w:shd w:val="clear" w:color="000000" w:fill="D9D9D9"/>
            <w:noWrap/>
            <w:vAlign w:val="center"/>
            <w:hideMark/>
          </w:tcPr>
          <w:p w14:paraId="723BDA3D" w14:textId="77777777" w:rsidR="00B2600C" w:rsidRPr="007337C6" w:rsidRDefault="00B2600C" w:rsidP="00B2600C">
            <w:pPr>
              <w:spacing w:after="0" w:line="240" w:lineRule="auto"/>
              <w:jc w:val="right"/>
              <w:rPr>
                <w:rFonts w:ascii="Trebuchet MS" w:eastAsia="Times New Roman" w:hAnsi="Trebuchet MS" w:cs="Calibri"/>
                <w:color w:val="000000"/>
                <w:sz w:val="20"/>
                <w:szCs w:val="20"/>
                <w:lang w:eastAsia="en-GB"/>
              </w:rPr>
            </w:pPr>
            <w:r w:rsidRPr="007337C6">
              <w:rPr>
                <w:rFonts w:ascii="Trebuchet MS" w:eastAsia="Times New Roman" w:hAnsi="Trebuchet MS" w:cs="Calibri"/>
                <w:color w:val="000000"/>
                <w:sz w:val="20"/>
                <w:szCs w:val="20"/>
                <w:lang w:eastAsia="en-GB"/>
              </w:rPr>
              <w:t>AEI</w:t>
            </w:r>
          </w:p>
        </w:tc>
      </w:tr>
      <w:tr w:rsidR="00487E08" w:rsidRPr="007337C6" w14:paraId="57A5155C" w14:textId="77777777" w:rsidTr="00165C01">
        <w:trPr>
          <w:trHeight w:val="260"/>
        </w:trPr>
        <w:tc>
          <w:tcPr>
            <w:tcW w:w="3161" w:type="dxa"/>
            <w:tcBorders>
              <w:top w:val="nil"/>
              <w:left w:val="nil"/>
              <w:bottom w:val="nil"/>
              <w:right w:val="nil"/>
            </w:tcBorders>
            <w:shd w:val="clear" w:color="auto" w:fill="auto"/>
            <w:noWrap/>
            <w:vAlign w:val="center"/>
            <w:hideMark/>
          </w:tcPr>
          <w:p w14:paraId="4068ADBD" w14:textId="77777777" w:rsidR="00487E08" w:rsidRPr="007337C6" w:rsidRDefault="00487E08" w:rsidP="00487E08">
            <w:pPr>
              <w:spacing w:after="0" w:line="240" w:lineRule="auto"/>
              <w:jc w:val="right"/>
              <w:rPr>
                <w:rFonts w:ascii="Trebuchet MS" w:eastAsia="Times New Roman" w:hAnsi="Trebuchet MS" w:cs="Calibri"/>
                <w:color w:val="000000"/>
                <w:sz w:val="20"/>
                <w:szCs w:val="20"/>
                <w:lang w:eastAsia="en-GB"/>
              </w:rPr>
            </w:pPr>
            <w:r w:rsidRPr="007337C6">
              <w:rPr>
                <w:rFonts w:ascii="Trebuchet MS" w:eastAsia="Times New Roman" w:hAnsi="Trebuchet MS" w:cs="Calibri"/>
                <w:color w:val="000000"/>
                <w:sz w:val="20"/>
                <w:szCs w:val="20"/>
                <w:lang w:eastAsia="en-GB"/>
              </w:rPr>
              <w:t>Eligible Own Funds</w:t>
            </w:r>
          </w:p>
        </w:tc>
        <w:tc>
          <w:tcPr>
            <w:tcW w:w="1092" w:type="dxa"/>
            <w:tcBorders>
              <w:top w:val="nil"/>
              <w:left w:val="single" w:sz="8" w:space="0" w:color="auto"/>
              <w:bottom w:val="nil"/>
              <w:right w:val="nil"/>
            </w:tcBorders>
            <w:shd w:val="clear" w:color="auto" w:fill="auto"/>
            <w:noWrap/>
            <w:vAlign w:val="bottom"/>
            <w:hideMark/>
          </w:tcPr>
          <w:p w14:paraId="0ADE08F3" w14:textId="2DCF5910" w:rsidR="00487E08" w:rsidRPr="007337C6" w:rsidRDefault="00487E08" w:rsidP="002C778E">
            <w:pPr>
              <w:spacing w:after="0" w:line="240" w:lineRule="auto"/>
              <w:jc w:val="right"/>
              <w:rPr>
                <w:rFonts w:ascii="Trebuchet MS" w:hAnsi="Trebuchet MS"/>
                <w:color w:val="000000"/>
                <w:sz w:val="18"/>
                <w:szCs w:val="18"/>
              </w:rPr>
            </w:pPr>
            <w:r w:rsidRPr="007337C6">
              <w:rPr>
                <w:rFonts w:ascii="Trebuchet MS" w:hAnsi="Trebuchet MS" w:cs="Calibri"/>
                <w:color w:val="000000"/>
                <w:sz w:val="18"/>
                <w:szCs w:val="18"/>
              </w:rPr>
              <w:t>97.4</w:t>
            </w:r>
          </w:p>
        </w:tc>
        <w:tc>
          <w:tcPr>
            <w:tcW w:w="850" w:type="dxa"/>
            <w:tcBorders>
              <w:top w:val="nil"/>
              <w:left w:val="nil"/>
              <w:bottom w:val="nil"/>
              <w:right w:val="nil"/>
            </w:tcBorders>
            <w:shd w:val="clear" w:color="auto" w:fill="auto"/>
            <w:noWrap/>
            <w:vAlign w:val="bottom"/>
            <w:hideMark/>
          </w:tcPr>
          <w:p w14:paraId="030A0B3A" w14:textId="069894E1" w:rsidR="00487E08" w:rsidRPr="007337C6" w:rsidRDefault="00487E08" w:rsidP="002C778E">
            <w:pPr>
              <w:spacing w:after="0" w:line="240" w:lineRule="auto"/>
              <w:jc w:val="right"/>
              <w:rPr>
                <w:rFonts w:ascii="Trebuchet MS" w:hAnsi="Trebuchet MS"/>
                <w:color w:val="000000"/>
                <w:sz w:val="18"/>
                <w:szCs w:val="18"/>
              </w:rPr>
            </w:pPr>
            <w:r w:rsidRPr="007337C6">
              <w:rPr>
                <w:rFonts w:ascii="Trebuchet MS" w:hAnsi="Trebuchet MS" w:cs="Calibri"/>
                <w:color w:val="000000"/>
                <w:sz w:val="18"/>
                <w:szCs w:val="18"/>
              </w:rPr>
              <w:t>82.3</w:t>
            </w:r>
          </w:p>
        </w:tc>
        <w:tc>
          <w:tcPr>
            <w:tcW w:w="851" w:type="dxa"/>
            <w:tcBorders>
              <w:top w:val="nil"/>
              <w:left w:val="nil"/>
              <w:bottom w:val="nil"/>
              <w:right w:val="single" w:sz="8" w:space="0" w:color="auto"/>
            </w:tcBorders>
            <w:shd w:val="clear" w:color="auto" w:fill="auto"/>
            <w:noWrap/>
            <w:vAlign w:val="bottom"/>
            <w:hideMark/>
          </w:tcPr>
          <w:p w14:paraId="335D6558" w14:textId="26943BF4" w:rsidR="00487E08" w:rsidRPr="007337C6" w:rsidRDefault="00487E08" w:rsidP="002C778E">
            <w:pPr>
              <w:spacing w:after="0" w:line="240" w:lineRule="auto"/>
              <w:jc w:val="right"/>
              <w:rPr>
                <w:rFonts w:ascii="Trebuchet MS" w:hAnsi="Trebuchet MS"/>
                <w:color w:val="000000"/>
                <w:sz w:val="18"/>
                <w:szCs w:val="18"/>
              </w:rPr>
            </w:pPr>
            <w:r w:rsidRPr="007337C6">
              <w:rPr>
                <w:rFonts w:ascii="Trebuchet MS" w:hAnsi="Trebuchet MS" w:cs="Calibri"/>
                <w:color w:val="000000"/>
                <w:sz w:val="18"/>
                <w:szCs w:val="18"/>
              </w:rPr>
              <w:t>36.2</w:t>
            </w:r>
          </w:p>
        </w:tc>
        <w:tc>
          <w:tcPr>
            <w:tcW w:w="850" w:type="dxa"/>
            <w:tcBorders>
              <w:top w:val="nil"/>
              <w:left w:val="nil"/>
              <w:bottom w:val="nil"/>
              <w:right w:val="nil"/>
            </w:tcBorders>
            <w:shd w:val="clear" w:color="auto" w:fill="auto"/>
            <w:noWrap/>
            <w:vAlign w:val="bottom"/>
            <w:hideMark/>
          </w:tcPr>
          <w:p w14:paraId="2105C06F" w14:textId="1FCCCCAB" w:rsidR="00487E08" w:rsidRPr="007337C6" w:rsidRDefault="00487E08" w:rsidP="002C778E">
            <w:pPr>
              <w:spacing w:after="0" w:line="240" w:lineRule="auto"/>
              <w:jc w:val="right"/>
              <w:rPr>
                <w:rFonts w:ascii="Trebuchet MS" w:hAnsi="Trebuchet MS"/>
                <w:color w:val="000000"/>
                <w:sz w:val="18"/>
                <w:szCs w:val="18"/>
              </w:rPr>
            </w:pPr>
            <w:r w:rsidRPr="007337C6">
              <w:rPr>
                <w:rFonts w:ascii="Trebuchet MS" w:hAnsi="Trebuchet MS" w:cs="Calibri"/>
                <w:color w:val="000000"/>
                <w:sz w:val="18"/>
                <w:szCs w:val="18"/>
              </w:rPr>
              <w:t>105.3</w:t>
            </w:r>
          </w:p>
        </w:tc>
        <w:tc>
          <w:tcPr>
            <w:tcW w:w="993" w:type="dxa"/>
            <w:tcBorders>
              <w:top w:val="nil"/>
              <w:left w:val="nil"/>
              <w:bottom w:val="nil"/>
              <w:right w:val="nil"/>
            </w:tcBorders>
            <w:shd w:val="clear" w:color="auto" w:fill="auto"/>
            <w:noWrap/>
            <w:vAlign w:val="bottom"/>
            <w:hideMark/>
          </w:tcPr>
          <w:p w14:paraId="74B4162C" w14:textId="0ED48B79" w:rsidR="00487E08" w:rsidRPr="007337C6" w:rsidRDefault="00487E08" w:rsidP="002C778E">
            <w:pPr>
              <w:spacing w:after="0" w:line="240" w:lineRule="auto"/>
              <w:jc w:val="right"/>
              <w:rPr>
                <w:rFonts w:ascii="Trebuchet MS" w:hAnsi="Trebuchet MS"/>
                <w:color w:val="000000"/>
                <w:sz w:val="18"/>
                <w:szCs w:val="18"/>
              </w:rPr>
            </w:pPr>
            <w:r w:rsidRPr="007337C6">
              <w:rPr>
                <w:rFonts w:ascii="Trebuchet MS" w:hAnsi="Trebuchet MS" w:cs="Calibri"/>
                <w:color w:val="000000"/>
                <w:sz w:val="18"/>
                <w:szCs w:val="18"/>
              </w:rPr>
              <w:t>48.5</w:t>
            </w:r>
          </w:p>
        </w:tc>
        <w:tc>
          <w:tcPr>
            <w:tcW w:w="992" w:type="dxa"/>
            <w:tcBorders>
              <w:top w:val="nil"/>
              <w:left w:val="nil"/>
              <w:bottom w:val="nil"/>
              <w:right w:val="single" w:sz="8" w:space="0" w:color="auto"/>
            </w:tcBorders>
            <w:shd w:val="clear" w:color="auto" w:fill="auto"/>
            <w:noWrap/>
            <w:vAlign w:val="bottom"/>
            <w:hideMark/>
          </w:tcPr>
          <w:p w14:paraId="3BC38A80" w14:textId="0AF76226" w:rsidR="00487E08" w:rsidRPr="007337C6" w:rsidRDefault="00487E08" w:rsidP="002C778E">
            <w:pPr>
              <w:spacing w:after="0" w:line="240" w:lineRule="auto"/>
              <w:jc w:val="right"/>
              <w:rPr>
                <w:rFonts w:ascii="Trebuchet MS" w:hAnsi="Trebuchet MS"/>
                <w:color w:val="000000"/>
                <w:sz w:val="18"/>
                <w:szCs w:val="18"/>
              </w:rPr>
            </w:pPr>
            <w:r w:rsidRPr="007337C6">
              <w:rPr>
                <w:rFonts w:ascii="Trebuchet MS" w:hAnsi="Trebuchet MS" w:cs="Calibri"/>
                <w:color w:val="000000"/>
                <w:sz w:val="18"/>
                <w:szCs w:val="18"/>
              </w:rPr>
              <w:t>63.3</w:t>
            </w:r>
          </w:p>
        </w:tc>
      </w:tr>
      <w:tr w:rsidR="00487E08" w:rsidRPr="007337C6" w14:paraId="4E6584DE" w14:textId="77777777" w:rsidTr="00165C01">
        <w:trPr>
          <w:trHeight w:val="260"/>
        </w:trPr>
        <w:tc>
          <w:tcPr>
            <w:tcW w:w="3161" w:type="dxa"/>
            <w:tcBorders>
              <w:top w:val="nil"/>
              <w:left w:val="nil"/>
              <w:bottom w:val="nil"/>
              <w:right w:val="nil"/>
            </w:tcBorders>
            <w:shd w:val="clear" w:color="auto" w:fill="auto"/>
            <w:noWrap/>
            <w:vAlign w:val="center"/>
            <w:hideMark/>
          </w:tcPr>
          <w:p w14:paraId="7331417C" w14:textId="77777777" w:rsidR="00487E08" w:rsidRPr="007337C6" w:rsidRDefault="00487E08" w:rsidP="00487E08">
            <w:pPr>
              <w:spacing w:after="0" w:line="240" w:lineRule="auto"/>
              <w:jc w:val="right"/>
              <w:rPr>
                <w:rFonts w:ascii="Trebuchet MS" w:eastAsia="Times New Roman" w:hAnsi="Trebuchet MS" w:cs="Calibri"/>
                <w:color w:val="000000"/>
                <w:sz w:val="20"/>
                <w:szCs w:val="20"/>
                <w:lang w:eastAsia="en-GB"/>
              </w:rPr>
            </w:pPr>
            <w:r w:rsidRPr="007337C6">
              <w:rPr>
                <w:rFonts w:ascii="Trebuchet MS" w:eastAsia="Times New Roman" w:hAnsi="Trebuchet MS" w:cs="Calibri"/>
                <w:color w:val="000000"/>
                <w:sz w:val="20"/>
                <w:szCs w:val="20"/>
                <w:lang w:eastAsia="en-GB"/>
              </w:rPr>
              <w:t>Regulatory SCR</w:t>
            </w:r>
          </w:p>
        </w:tc>
        <w:tc>
          <w:tcPr>
            <w:tcW w:w="1092" w:type="dxa"/>
            <w:tcBorders>
              <w:top w:val="nil"/>
              <w:left w:val="single" w:sz="8" w:space="0" w:color="auto"/>
              <w:bottom w:val="nil"/>
              <w:right w:val="nil"/>
            </w:tcBorders>
            <w:shd w:val="clear" w:color="auto" w:fill="auto"/>
            <w:noWrap/>
            <w:vAlign w:val="bottom"/>
            <w:hideMark/>
          </w:tcPr>
          <w:p w14:paraId="43AA34CC" w14:textId="4F7D0054" w:rsidR="00487E08" w:rsidRPr="007337C6" w:rsidRDefault="00487E08" w:rsidP="002C778E">
            <w:pPr>
              <w:spacing w:after="0" w:line="240" w:lineRule="auto"/>
              <w:jc w:val="right"/>
              <w:rPr>
                <w:rFonts w:ascii="Trebuchet MS" w:hAnsi="Trebuchet MS"/>
                <w:color w:val="000000"/>
                <w:sz w:val="18"/>
                <w:szCs w:val="18"/>
              </w:rPr>
            </w:pPr>
            <w:r w:rsidRPr="007337C6">
              <w:rPr>
                <w:rFonts w:ascii="Trebuchet MS" w:hAnsi="Trebuchet MS" w:cs="Calibri"/>
                <w:color w:val="000000"/>
                <w:sz w:val="18"/>
                <w:szCs w:val="18"/>
              </w:rPr>
              <w:t>63.3</w:t>
            </w:r>
          </w:p>
        </w:tc>
        <w:tc>
          <w:tcPr>
            <w:tcW w:w="850" w:type="dxa"/>
            <w:tcBorders>
              <w:top w:val="nil"/>
              <w:left w:val="nil"/>
              <w:bottom w:val="nil"/>
              <w:right w:val="nil"/>
            </w:tcBorders>
            <w:shd w:val="clear" w:color="auto" w:fill="auto"/>
            <w:noWrap/>
            <w:vAlign w:val="bottom"/>
            <w:hideMark/>
          </w:tcPr>
          <w:p w14:paraId="73B84E99" w14:textId="09827D05" w:rsidR="00487E08" w:rsidRPr="007337C6" w:rsidRDefault="00487E08" w:rsidP="002C778E">
            <w:pPr>
              <w:spacing w:after="0" w:line="240" w:lineRule="auto"/>
              <w:jc w:val="right"/>
              <w:rPr>
                <w:rFonts w:ascii="Trebuchet MS" w:hAnsi="Trebuchet MS"/>
                <w:color w:val="000000"/>
                <w:sz w:val="18"/>
                <w:szCs w:val="18"/>
              </w:rPr>
            </w:pPr>
            <w:r w:rsidRPr="007337C6">
              <w:rPr>
                <w:rFonts w:ascii="Trebuchet MS" w:hAnsi="Trebuchet MS" w:cs="Calibri"/>
                <w:color w:val="000000"/>
                <w:sz w:val="18"/>
                <w:szCs w:val="18"/>
              </w:rPr>
              <w:t>41.8</w:t>
            </w:r>
          </w:p>
        </w:tc>
        <w:tc>
          <w:tcPr>
            <w:tcW w:w="851" w:type="dxa"/>
            <w:tcBorders>
              <w:top w:val="nil"/>
              <w:left w:val="nil"/>
              <w:bottom w:val="nil"/>
              <w:right w:val="single" w:sz="8" w:space="0" w:color="auto"/>
            </w:tcBorders>
            <w:shd w:val="clear" w:color="auto" w:fill="auto"/>
            <w:noWrap/>
            <w:vAlign w:val="bottom"/>
            <w:hideMark/>
          </w:tcPr>
          <w:p w14:paraId="00AC3148" w14:textId="6E02EEDF" w:rsidR="00487E08" w:rsidRPr="007337C6" w:rsidRDefault="00487E08" w:rsidP="002C778E">
            <w:pPr>
              <w:spacing w:after="0" w:line="240" w:lineRule="auto"/>
              <w:jc w:val="right"/>
              <w:rPr>
                <w:rFonts w:ascii="Trebuchet MS" w:hAnsi="Trebuchet MS"/>
                <w:color w:val="000000"/>
                <w:sz w:val="18"/>
                <w:szCs w:val="18"/>
              </w:rPr>
            </w:pPr>
            <w:r w:rsidRPr="007337C6">
              <w:rPr>
                <w:rFonts w:ascii="Trebuchet MS" w:hAnsi="Trebuchet MS" w:cs="Calibri"/>
                <w:color w:val="000000"/>
                <w:sz w:val="18"/>
                <w:szCs w:val="18"/>
              </w:rPr>
              <w:t>7.8</w:t>
            </w:r>
          </w:p>
        </w:tc>
        <w:tc>
          <w:tcPr>
            <w:tcW w:w="850" w:type="dxa"/>
            <w:tcBorders>
              <w:top w:val="nil"/>
              <w:left w:val="nil"/>
              <w:bottom w:val="nil"/>
              <w:right w:val="nil"/>
            </w:tcBorders>
            <w:shd w:val="clear" w:color="auto" w:fill="auto"/>
            <w:noWrap/>
            <w:vAlign w:val="bottom"/>
            <w:hideMark/>
          </w:tcPr>
          <w:p w14:paraId="68EB47A2" w14:textId="0192DAD9" w:rsidR="00487E08" w:rsidRPr="007337C6" w:rsidRDefault="00487E08" w:rsidP="002C778E">
            <w:pPr>
              <w:spacing w:after="0" w:line="240" w:lineRule="auto"/>
              <w:jc w:val="right"/>
              <w:rPr>
                <w:rFonts w:ascii="Trebuchet MS" w:hAnsi="Trebuchet MS"/>
                <w:color w:val="000000"/>
                <w:sz w:val="18"/>
                <w:szCs w:val="18"/>
              </w:rPr>
            </w:pPr>
            <w:r w:rsidRPr="007337C6">
              <w:rPr>
                <w:rFonts w:ascii="Trebuchet MS" w:hAnsi="Trebuchet MS" w:cs="Calibri"/>
                <w:color w:val="000000"/>
                <w:sz w:val="18"/>
                <w:szCs w:val="18"/>
              </w:rPr>
              <w:t>52.0</w:t>
            </w:r>
          </w:p>
        </w:tc>
        <w:tc>
          <w:tcPr>
            <w:tcW w:w="993" w:type="dxa"/>
            <w:tcBorders>
              <w:top w:val="nil"/>
              <w:left w:val="nil"/>
              <w:bottom w:val="nil"/>
              <w:right w:val="nil"/>
            </w:tcBorders>
            <w:shd w:val="clear" w:color="auto" w:fill="auto"/>
            <w:noWrap/>
            <w:vAlign w:val="bottom"/>
            <w:hideMark/>
          </w:tcPr>
          <w:p w14:paraId="2527FFB3" w14:textId="79E277CB" w:rsidR="00487E08" w:rsidRPr="007337C6" w:rsidRDefault="00487E08" w:rsidP="002C778E">
            <w:pPr>
              <w:spacing w:after="0" w:line="240" w:lineRule="auto"/>
              <w:jc w:val="right"/>
              <w:rPr>
                <w:rFonts w:ascii="Trebuchet MS" w:hAnsi="Trebuchet MS"/>
                <w:color w:val="000000"/>
                <w:sz w:val="18"/>
                <w:szCs w:val="18"/>
              </w:rPr>
            </w:pPr>
            <w:r w:rsidRPr="007337C6">
              <w:rPr>
                <w:rFonts w:ascii="Trebuchet MS" w:hAnsi="Trebuchet MS" w:cs="Calibri"/>
                <w:color w:val="000000"/>
                <w:sz w:val="18"/>
                <w:szCs w:val="18"/>
              </w:rPr>
              <w:t>19.2</w:t>
            </w:r>
          </w:p>
        </w:tc>
        <w:tc>
          <w:tcPr>
            <w:tcW w:w="992" w:type="dxa"/>
            <w:tcBorders>
              <w:top w:val="nil"/>
              <w:left w:val="nil"/>
              <w:bottom w:val="nil"/>
              <w:right w:val="single" w:sz="8" w:space="0" w:color="auto"/>
            </w:tcBorders>
            <w:shd w:val="clear" w:color="auto" w:fill="auto"/>
            <w:noWrap/>
            <w:vAlign w:val="bottom"/>
            <w:hideMark/>
          </w:tcPr>
          <w:p w14:paraId="0A893FE9" w14:textId="001A9319" w:rsidR="00487E08" w:rsidRPr="007337C6" w:rsidRDefault="00487E08" w:rsidP="002C778E">
            <w:pPr>
              <w:spacing w:after="0" w:line="240" w:lineRule="auto"/>
              <w:jc w:val="right"/>
              <w:rPr>
                <w:rFonts w:ascii="Trebuchet MS" w:hAnsi="Trebuchet MS"/>
                <w:color w:val="000000"/>
                <w:sz w:val="18"/>
                <w:szCs w:val="18"/>
              </w:rPr>
            </w:pPr>
            <w:r w:rsidRPr="007337C6">
              <w:rPr>
                <w:rFonts w:ascii="Trebuchet MS" w:hAnsi="Trebuchet MS" w:cs="Calibri"/>
                <w:color w:val="000000"/>
                <w:sz w:val="18"/>
                <w:szCs w:val="18"/>
              </w:rPr>
              <w:t>39.8</w:t>
            </w:r>
          </w:p>
        </w:tc>
      </w:tr>
      <w:tr w:rsidR="00487E08" w:rsidRPr="007337C6" w14:paraId="47BF02D0" w14:textId="77777777" w:rsidTr="00165C01">
        <w:trPr>
          <w:trHeight w:val="260"/>
        </w:trPr>
        <w:tc>
          <w:tcPr>
            <w:tcW w:w="3161" w:type="dxa"/>
            <w:tcBorders>
              <w:top w:val="nil"/>
              <w:left w:val="nil"/>
              <w:bottom w:val="nil"/>
              <w:right w:val="nil"/>
            </w:tcBorders>
            <w:shd w:val="clear" w:color="auto" w:fill="auto"/>
            <w:noWrap/>
            <w:vAlign w:val="center"/>
            <w:hideMark/>
          </w:tcPr>
          <w:p w14:paraId="27A70D78" w14:textId="77777777" w:rsidR="00487E08" w:rsidRPr="007337C6" w:rsidRDefault="00487E08" w:rsidP="00487E08">
            <w:pPr>
              <w:spacing w:after="0" w:line="240" w:lineRule="auto"/>
              <w:jc w:val="right"/>
              <w:rPr>
                <w:rFonts w:ascii="Trebuchet MS" w:eastAsia="Times New Roman" w:hAnsi="Trebuchet MS" w:cs="Calibri"/>
                <w:color w:val="000000"/>
                <w:sz w:val="20"/>
                <w:szCs w:val="20"/>
                <w:lang w:eastAsia="en-GB"/>
              </w:rPr>
            </w:pPr>
            <w:r w:rsidRPr="007337C6">
              <w:rPr>
                <w:rFonts w:ascii="Trebuchet MS" w:eastAsia="Times New Roman" w:hAnsi="Trebuchet MS" w:cs="Calibri"/>
                <w:color w:val="000000"/>
                <w:sz w:val="20"/>
                <w:szCs w:val="20"/>
                <w:lang w:eastAsia="en-GB"/>
              </w:rPr>
              <w:t>SCR%</w:t>
            </w:r>
          </w:p>
        </w:tc>
        <w:tc>
          <w:tcPr>
            <w:tcW w:w="1092" w:type="dxa"/>
            <w:tcBorders>
              <w:top w:val="nil"/>
              <w:left w:val="single" w:sz="8" w:space="0" w:color="auto"/>
              <w:bottom w:val="nil"/>
              <w:right w:val="nil"/>
            </w:tcBorders>
            <w:shd w:val="clear" w:color="auto" w:fill="auto"/>
            <w:noWrap/>
            <w:vAlign w:val="bottom"/>
            <w:hideMark/>
          </w:tcPr>
          <w:p w14:paraId="4EBC7FBF" w14:textId="1689D7C3" w:rsidR="00487E08" w:rsidRPr="007337C6" w:rsidRDefault="00487E08" w:rsidP="002C778E">
            <w:pPr>
              <w:spacing w:after="0" w:line="240" w:lineRule="auto"/>
              <w:jc w:val="right"/>
              <w:rPr>
                <w:rFonts w:ascii="Trebuchet MS" w:hAnsi="Trebuchet MS"/>
                <w:color w:val="000000"/>
                <w:sz w:val="18"/>
                <w:szCs w:val="18"/>
              </w:rPr>
            </w:pPr>
            <w:r w:rsidRPr="007337C6">
              <w:rPr>
                <w:rFonts w:ascii="Trebuchet MS" w:hAnsi="Trebuchet MS" w:cs="Calibri"/>
                <w:color w:val="000000"/>
                <w:sz w:val="18"/>
                <w:szCs w:val="18"/>
              </w:rPr>
              <w:t>154%</w:t>
            </w:r>
          </w:p>
        </w:tc>
        <w:tc>
          <w:tcPr>
            <w:tcW w:w="850" w:type="dxa"/>
            <w:tcBorders>
              <w:top w:val="nil"/>
              <w:left w:val="nil"/>
              <w:bottom w:val="nil"/>
              <w:right w:val="nil"/>
            </w:tcBorders>
            <w:shd w:val="clear" w:color="auto" w:fill="auto"/>
            <w:noWrap/>
            <w:vAlign w:val="bottom"/>
            <w:hideMark/>
          </w:tcPr>
          <w:p w14:paraId="307DA358" w14:textId="412717BA" w:rsidR="00487E08" w:rsidRPr="007337C6" w:rsidRDefault="00487E08" w:rsidP="002C778E">
            <w:pPr>
              <w:spacing w:after="0" w:line="240" w:lineRule="auto"/>
              <w:jc w:val="right"/>
              <w:rPr>
                <w:rFonts w:ascii="Trebuchet MS" w:hAnsi="Trebuchet MS"/>
                <w:color w:val="000000"/>
                <w:sz w:val="18"/>
                <w:szCs w:val="18"/>
              </w:rPr>
            </w:pPr>
            <w:r w:rsidRPr="007337C6">
              <w:rPr>
                <w:rFonts w:ascii="Trebuchet MS" w:hAnsi="Trebuchet MS" w:cs="Calibri"/>
                <w:color w:val="000000"/>
                <w:sz w:val="18"/>
                <w:szCs w:val="18"/>
              </w:rPr>
              <w:t>197%</w:t>
            </w:r>
          </w:p>
        </w:tc>
        <w:tc>
          <w:tcPr>
            <w:tcW w:w="851" w:type="dxa"/>
            <w:tcBorders>
              <w:top w:val="nil"/>
              <w:left w:val="nil"/>
              <w:bottom w:val="nil"/>
              <w:right w:val="single" w:sz="8" w:space="0" w:color="auto"/>
            </w:tcBorders>
            <w:shd w:val="clear" w:color="auto" w:fill="auto"/>
            <w:noWrap/>
            <w:vAlign w:val="bottom"/>
            <w:hideMark/>
          </w:tcPr>
          <w:p w14:paraId="5EF04274" w14:textId="13C61225" w:rsidR="00487E08" w:rsidRPr="007337C6" w:rsidRDefault="00487E08" w:rsidP="002C778E">
            <w:pPr>
              <w:spacing w:after="0" w:line="240" w:lineRule="auto"/>
              <w:jc w:val="right"/>
              <w:rPr>
                <w:rFonts w:ascii="Trebuchet MS" w:hAnsi="Trebuchet MS"/>
                <w:color w:val="000000"/>
                <w:sz w:val="18"/>
                <w:szCs w:val="18"/>
              </w:rPr>
            </w:pPr>
            <w:r w:rsidRPr="007337C6">
              <w:rPr>
                <w:rFonts w:ascii="Trebuchet MS" w:hAnsi="Trebuchet MS" w:cs="Calibri"/>
                <w:color w:val="000000"/>
                <w:sz w:val="18"/>
                <w:szCs w:val="18"/>
              </w:rPr>
              <w:t>461%</w:t>
            </w:r>
          </w:p>
        </w:tc>
        <w:tc>
          <w:tcPr>
            <w:tcW w:w="850" w:type="dxa"/>
            <w:tcBorders>
              <w:top w:val="nil"/>
              <w:left w:val="nil"/>
              <w:bottom w:val="nil"/>
              <w:right w:val="nil"/>
            </w:tcBorders>
            <w:shd w:val="clear" w:color="auto" w:fill="auto"/>
            <w:noWrap/>
            <w:vAlign w:val="bottom"/>
            <w:hideMark/>
          </w:tcPr>
          <w:p w14:paraId="42325407" w14:textId="30B2DDC0" w:rsidR="00487E08" w:rsidRPr="007337C6" w:rsidRDefault="00487E08" w:rsidP="002C778E">
            <w:pPr>
              <w:spacing w:after="0" w:line="240" w:lineRule="auto"/>
              <w:jc w:val="right"/>
              <w:rPr>
                <w:rFonts w:ascii="Trebuchet MS" w:hAnsi="Trebuchet MS"/>
                <w:color w:val="000000"/>
                <w:sz w:val="18"/>
                <w:szCs w:val="18"/>
              </w:rPr>
            </w:pPr>
            <w:r w:rsidRPr="007337C6">
              <w:rPr>
                <w:rFonts w:ascii="Trebuchet MS" w:hAnsi="Trebuchet MS" w:cs="Calibri"/>
                <w:color w:val="000000"/>
                <w:sz w:val="18"/>
                <w:szCs w:val="18"/>
              </w:rPr>
              <w:t>202%</w:t>
            </w:r>
          </w:p>
        </w:tc>
        <w:tc>
          <w:tcPr>
            <w:tcW w:w="993" w:type="dxa"/>
            <w:tcBorders>
              <w:top w:val="nil"/>
              <w:left w:val="nil"/>
              <w:bottom w:val="nil"/>
              <w:right w:val="nil"/>
            </w:tcBorders>
            <w:shd w:val="clear" w:color="auto" w:fill="auto"/>
            <w:noWrap/>
            <w:vAlign w:val="bottom"/>
            <w:hideMark/>
          </w:tcPr>
          <w:p w14:paraId="1FCE5C00" w14:textId="58F1CD17" w:rsidR="00487E08" w:rsidRPr="007337C6" w:rsidRDefault="00487E08" w:rsidP="002C778E">
            <w:pPr>
              <w:spacing w:after="0" w:line="240" w:lineRule="auto"/>
              <w:jc w:val="right"/>
              <w:rPr>
                <w:rFonts w:ascii="Trebuchet MS" w:hAnsi="Trebuchet MS"/>
                <w:color w:val="000000"/>
                <w:sz w:val="18"/>
                <w:szCs w:val="18"/>
              </w:rPr>
            </w:pPr>
            <w:r w:rsidRPr="007337C6">
              <w:rPr>
                <w:rFonts w:ascii="Trebuchet MS" w:hAnsi="Trebuchet MS" w:cs="Calibri"/>
                <w:color w:val="000000"/>
                <w:sz w:val="18"/>
                <w:szCs w:val="18"/>
              </w:rPr>
              <w:t>252%</w:t>
            </w:r>
          </w:p>
        </w:tc>
        <w:tc>
          <w:tcPr>
            <w:tcW w:w="992" w:type="dxa"/>
            <w:tcBorders>
              <w:top w:val="nil"/>
              <w:left w:val="nil"/>
              <w:bottom w:val="nil"/>
              <w:right w:val="single" w:sz="8" w:space="0" w:color="auto"/>
            </w:tcBorders>
            <w:shd w:val="clear" w:color="auto" w:fill="auto"/>
            <w:noWrap/>
            <w:vAlign w:val="bottom"/>
            <w:hideMark/>
          </w:tcPr>
          <w:p w14:paraId="4AAC1C1B" w14:textId="4F55C9FD" w:rsidR="00487E08" w:rsidRPr="007337C6" w:rsidRDefault="00487E08" w:rsidP="002C778E">
            <w:pPr>
              <w:spacing w:after="0" w:line="240" w:lineRule="auto"/>
              <w:jc w:val="right"/>
              <w:rPr>
                <w:rFonts w:ascii="Trebuchet MS" w:hAnsi="Trebuchet MS"/>
                <w:color w:val="000000"/>
                <w:sz w:val="18"/>
                <w:szCs w:val="18"/>
              </w:rPr>
            </w:pPr>
            <w:r w:rsidRPr="007337C6">
              <w:rPr>
                <w:rFonts w:ascii="Trebuchet MS" w:hAnsi="Trebuchet MS" w:cs="Calibri"/>
                <w:color w:val="000000"/>
                <w:sz w:val="18"/>
                <w:szCs w:val="18"/>
              </w:rPr>
              <w:t>159%</w:t>
            </w:r>
          </w:p>
        </w:tc>
      </w:tr>
      <w:tr w:rsidR="00487E08" w:rsidRPr="007337C6" w14:paraId="28F531DB" w14:textId="77777777" w:rsidTr="00165C01">
        <w:trPr>
          <w:trHeight w:val="260"/>
        </w:trPr>
        <w:tc>
          <w:tcPr>
            <w:tcW w:w="3161" w:type="dxa"/>
            <w:tcBorders>
              <w:top w:val="nil"/>
              <w:left w:val="nil"/>
              <w:bottom w:val="nil"/>
              <w:right w:val="nil"/>
            </w:tcBorders>
            <w:shd w:val="clear" w:color="auto" w:fill="auto"/>
            <w:noWrap/>
            <w:vAlign w:val="center"/>
            <w:hideMark/>
          </w:tcPr>
          <w:p w14:paraId="05DBB896" w14:textId="77777777" w:rsidR="00487E08" w:rsidRPr="007337C6" w:rsidRDefault="00487E08" w:rsidP="00487E08">
            <w:pPr>
              <w:spacing w:after="0" w:line="240" w:lineRule="auto"/>
              <w:jc w:val="right"/>
              <w:rPr>
                <w:rFonts w:ascii="Trebuchet MS" w:eastAsia="Times New Roman" w:hAnsi="Trebuchet MS" w:cs="Calibri"/>
                <w:color w:val="000000"/>
                <w:sz w:val="20"/>
                <w:szCs w:val="20"/>
                <w:lang w:eastAsia="en-GB"/>
              </w:rPr>
            </w:pPr>
            <w:r w:rsidRPr="007337C6">
              <w:rPr>
                <w:rFonts w:ascii="Trebuchet MS" w:eastAsia="Times New Roman" w:hAnsi="Trebuchet MS" w:cs="Calibri"/>
                <w:color w:val="000000"/>
                <w:sz w:val="20"/>
                <w:szCs w:val="20"/>
                <w:lang w:eastAsia="en-GB"/>
              </w:rPr>
              <w:t>Risk Appetite buffer target</w:t>
            </w:r>
          </w:p>
        </w:tc>
        <w:tc>
          <w:tcPr>
            <w:tcW w:w="1092" w:type="dxa"/>
            <w:tcBorders>
              <w:top w:val="nil"/>
              <w:left w:val="single" w:sz="8" w:space="0" w:color="auto"/>
              <w:bottom w:val="nil"/>
              <w:right w:val="nil"/>
            </w:tcBorders>
            <w:shd w:val="clear" w:color="auto" w:fill="auto"/>
            <w:noWrap/>
            <w:vAlign w:val="bottom"/>
            <w:hideMark/>
          </w:tcPr>
          <w:p w14:paraId="59450FDB" w14:textId="2932D890" w:rsidR="00487E08" w:rsidRPr="007337C6" w:rsidRDefault="00487E08" w:rsidP="002C778E">
            <w:pPr>
              <w:spacing w:after="0" w:line="240" w:lineRule="auto"/>
              <w:jc w:val="right"/>
              <w:rPr>
                <w:rFonts w:ascii="Trebuchet MS" w:hAnsi="Trebuchet MS"/>
                <w:color w:val="000000"/>
                <w:sz w:val="18"/>
                <w:szCs w:val="18"/>
              </w:rPr>
            </w:pPr>
            <w:r w:rsidRPr="007337C6">
              <w:rPr>
                <w:rFonts w:ascii="Trebuchet MS" w:hAnsi="Trebuchet MS" w:cs="Calibri"/>
                <w:color w:val="000000"/>
                <w:sz w:val="18"/>
                <w:szCs w:val="18"/>
              </w:rPr>
              <w:t>135%</w:t>
            </w:r>
          </w:p>
        </w:tc>
        <w:tc>
          <w:tcPr>
            <w:tcW w:w="850" w:type="dxa"/>
            <w:tcBorders>
              <w:top w:val="nil"/>
              <w:left w:val="nil"/>
              <w:bottom w:val="nil"/>
              <w:right w:val="nil"/>
            </w:tcBorders>
            <w:shd w:val="clear" w:color="auto" w:fill="auto"/>
            <w:noWrap/>
            <w:vAlign w:val="bottom"/>
            <w:hideMark/>
          </w:tcPr>
          <w:p w14:paraId="497E3BB2" w14:textId="1EAAC423" w:rsidR="00487E08" w:rsidRPr="007337C6" w:rsidRDefault="00487E08" w:rsidP="002C778E">
            <w:pPr>
              <w:spacing w:after="0" w:line="240" w:lineRule="auto"/>
              <w:jc w:val="right"/>
              <w:rPr>
                <w:rFonts w:ascii="Trebuchet MS" w:hAnsi="Trebuchet MS"/>
                <w:color w:val="000000"/>
                <w:sz w:val="18"/>
                <w:szCs w:val="18"/>
              </w:rPr>
            </w:pPr>
            <w:r w:rsidRPr="007337C6">
              <w:rPr>
                <w:rFonts w:ascii="Trebuchet MS" w:hAnsi="Trebuchet MS" w:cs="Calibri"/>
                <w:color w:val="000000"/>
                <w:sz w:val="18"/>
                <w:szCs w:val="18"/>
              </w:rPr>
              <w:t>125%</w:t>
            </w:r>
          </w:p>
        </w:tc>
        <w:tc>
          <w:tcPr>
            <w:tcW w:w="851" w:type="dxa"/>
            <w:tcBorders>
              <w:top w:val="nil"/>
              <w:left w:val="nil"/>
              <w:bottom w:val="nil"/>
              <w:right w:val="single" w:sz="8" w:space="0" w:color="auto"/>
            </w:tcBorders>
            <w:shd w:val="clear" w:color="auto" w:fill="auto"/>
            <w:noWrap/>
            <w:vAlign w:val="bottom"/>
            <w:hideMark/>
          </w:tcPr>
          <w:p w14:paraId="0AC4EE2A" w14:textId="1833328E" w:rsidR="00487E08" w:rsidRPr="007337C6" w:rsidRDefault="00487E08" w:rsidP="002C778E">
            <w:pPr>
              <w:spacing w:after="0" w:line="240" w:lineRule="auto"/>
              <w:jc w:val="right"/>
              <w:rPr>
                <w:rFonts w:ascii="Trebuchet MS" w:hAnsi="Trebuchet MS"/>
                <w:color w:val="000000"/>
                <w:sz w:val="18"/>
                <w:szCs w:val="18"/>
              </w:rPr>
            </w:pPr>
            <w:r w:rsidRPr="007337C6">
              <w:rPr>
                <w:rFonts w:ascii="Trebuchet MS" w:hAnsi="Trebuchet MS" w:cs="Calibri"/>
                <w:color w:val="000000"/>
                <w:sz w:val="18"/>
                <w:szCs w:val="18"/>
              </w:rPr>
              <w:t>140%</w:t>
            </w:r>
          </w:p>
        </w:tc>
        <w:tc>
          <w:tcPr>
            <w:tcW w:w="850" w:type="dxa"/>
            <w:tcBorders>
              <w:top w:val="nil"/>
              <w:left w:val="nil"/>
              <w:bottom w:val="nil"/>
              <w:right w:val="nil"/>
            </w:tcBorders>
            <w:shd w:val="clear" w:color="auto" w:fill="auto"/>
            <w:noWrap/>
            <w:vAlign w:val="bottom"/>
            <w:hideMark/>
          </w:tcPr>
          <w:p w14:paraId="3FF17436" w14:textId="7F274221" w:rsidR="00487E08" w:rsidRPr="007337C6" w:rsidRDefault="00487E08" w:rsidP="002C778E">
            <w:pPr>
              <w:spacing w:after="0" w:line="240" w:lineRule="auto"/>
              <w:jc w:val="right"/>
              <w:rPr>
                <w:rFonts w:ascii="Trebuchet MS" w:hAnsi="Trebuchet MS"/>
                <w:color w:val="000000"/>
                <w:sz w:val="18"/>
                <w:szCs w:val="18"/>
              </w:rPr>
            </w:pPr>
            <w:r w:rsidRPr="007337C6">
              <w:rPr>
                <w:rFonts w:ascii="Trebuchet MS" w:hAnsi="Trebuchet MS" w:cs="Calibri"/>
                <w:color w:val="000000"/>
                <w:sz w:val="18"/>
                <w:szCs w:val="18"/>
              </w:rPr>
              <w:t>135%</w:t>
            </w:r>
          </w:p>
        </w:tc>
        <w:tc>
          <w:tcPr>
            <w:tcW w:w="993" w:type="dxa"/>
            <w:tcBorders>
              <w:top w:val="nil"/>
              <w:left w:val="nil"/>
              <w:bottom w:val="nil"/>
              <w:right w:val="nil"/>
            </w:tcBorders>
            <w:shd w:val="clear" w:color="auto" w:fill="auto"/>
            <w:noWrap/>
            <w:vAlign w:val="bottom"/>
            <w:hideMark/>
          </w:tcPr>
          <w:p w14:paraId="2D0402E0" w14:textId="2020F64F" w:rsidR="00487E08" w:rsidRPr="007337C6" w:rsidRDefault="00487E08" w:rsidP="002C778E">
            <w:pPr>
              <w:spacing w:after="0" w:line="240" w:lineRule="auto"/>
              <w:jc w:val="right"/>
              <w:rPr>
                <w:rFonts w:ascii="Trebuchet MS" w:hAnsi="Trebuchet MS"/>
                <w:color w:val="000000"/>
                <w:sz w:val="18"/>
                <w:szCs w:val="18"/>
              </w:rPr>
            </w:pPr>
            <w:r w:rsidRPr="007337C6">
              <w:rPr>
                <w:rFonts w:ascii="Trebuchet MS" w:hAnsi="Trebuchet MS" w:cs="Calibri"/>
                <w:color w:val="000000"/>
                <w:sz w:val="18"/>
                <w:szCs w:val="18"/>
              </w:rPr>
              <w:t>125%</w:t>
            </w:r>
          </w:p>
        </w:tc>
        <w:tc>
          <w:tcPr>
            <w:tcW w:w="992" w:type="dxa"/>
            <w:tcBorders>
              <w:top w:val="nil"/>
              <w:left w:val="nil"/>
              <w:bottom w:val="nil"/>
              <w:right w:val="single" w:sz="8" w:space="0" w:color="auto"/>
            </w:tcBorders>
            <w:shd w:val="clear" w:color="auto" w:fill="auto"/>
            <w:noWrap/>
            <w:vAlign w:val="bottom"/>
            <w:hideMark/>
          </w:tcPr>
          <w:p w14:paraId="0DEF1B40" w14:textId="2B95F42A" w:rsidR="00487E08" w:rsidRPr="007337C6" w:rsidRDefault="00487E08" w:rsidP="002C778E">
            <w:pPr>
              <w:spacing w:after="0" w:line="240" w:lineRule="auto"/>
              <w:jc w:val="right"/>
              <w:rPr>
                <w:rFonts w:ascii="Trebuchet MS" w:hAnsi="Trebuchet MS"/>
                <w:color w:val="000000"/>
                <w:sz w:val="18"/>
                <w:szCs w:val="18"/>
              </w:rPr>
            </w:pPr>
            <w:r w:rsidRPr="007337C6">
              <w:rPr>
                <w:rFonts w:ascii="Trebuchet MS" w:hAnsi="Trebuchet MS" w:cs="Calibri"/>
                <w:color w:val="000000"/>
                <w:sz w:val="18"/>
                <w:szCs w:val="18"/>
              </w:rPr>
              <w:t>140%</w:t>
            </w:r>
          </w:p>
        </w:tc>
      </w:tr>
      <w:tr w:rsidR="00487E08" w:rsidRPr="007337C6" w14:paraId="27A99C0B" w14:textId="77777777" w:rsidTr="00165C01">
        <w:trPr>
          <w:trHeight w:val="269"/>
        </w:trPr>
        <w:tc>
          <w:tcPr>
            <w:tcW w:w="3161" w:type="dxa"/>
            <w:tcBorders>
              <w:top w:val="nil"/>
              <w:left w:val="nil"/>
              <w:bottom w:val="nil"/>
              <w:right w:val="nil"/>
            </w:tcBorders>
            <w:shd w:val="clear" w:color="auto" w:fill="auto"/>
            <w:noWrap/>
            <w:vAlign w:val="center"/>
            <w:hideMark/>
          </w:tcPr>
          <w:p w14:paraId="61865C99" w14:textId="77777777" w:rsidR="00487E08" w:rsidRPr="007337C6" w:rsidRDefault="00487E08" w:rsidP="00487E08">
            <w:pPr>
              <w:spacing w:after="0" w:line="240" w:lineRule="auto"/>
              <w:jc w:val="right"/>
              <w:rPr>
                <w:rFonts w:ascii="Trebuchet MS" w:eastAsia="Times New Roman" w:hAnsi="Trebuchet MS" w:cs="Calibri"/>
                <w:color w:val="000000"/>
                <w:sz w:val="20"/>
                <w:szCs w:val="20"/>
                <w:lang w:eastAsia="en-GB"/>
              </w:rPr>
            </w:pPr>
            <w:r w:rsidRPr="007337C6">
              <w:rPr>
                <w:rFonts w:ascii="Trebuchet MS" w:eastAsia="Times New Roman" w:hAnsi="Trebuchet MS" w:cs="Calibri"/>
                <w:color w:val="000000"/>
                <w:sz w:val="20"/>
                <w:szCs w:val="20"/>
                <w:lang w:eastAsia="en-GB"/>
              </w:rPr>
              <w:t>Surplus (over the target buffer)</w:t>
            </w:r>
          </w:p>
        </w:tc>
        <w:tc>
          <w:tcPr>
            <w:tcW w:w="1092" w:type="dxa"/>
            <w:tcBorders>
              <w:top w:val="nil"/>
              <w:left w:val="single" w:sz="8" w:space="0" w:color="auto"/>
              <w:bottom w:val="single" w:sz="8" w:space="0" w:color="auto"/>
              <w:right w:val="nil"/>
            </w:tcBorders>
            <w:shd w:val="clear" w:color="auto" w:fill="auto"/>
            <w:noWrap/>
            <w:vAlign w:val="bottom"/>
            <w:hideMark/>
          </w:tcPr>
          <w:p w14:paraId="7A9B42B4" w14:textId="32C4C354" w:rsidR="00487E08" w:rsidRPr="007337C6" w:rsidRDefault="00487E08" w:rsidP="002C778E">
            <w:pPr>
              <w:spacing w:after="0" w:line="240" w:lineRule="auto"/>
              <w:jc w:val="right"/>
              <w:rPr>
                <w:rFonts w:ascii="Trebuchet MS" w:hAnsi="Trebuchet MS"/>
                <w:color w:val="000000"/>
                <w:sz w:val="18"/>
                <w:szCs w:val="18"/>
              </w:rPr>
            </w:pPr>
            <w:r w:rsidRPr="007337C6">
              <w:rPr>
                <w:rFonts w:ascii="Trebuchet MS" w:hAnsi="Trebuchet MS" w:cs="Calibri"/>
                <w:color w:val="000000"/>
                <w:sz w:val="18"/>
                <w:szCs w:val="18"/>
              </w:rPr>
              <w:t>11.9</w:t>
            </w:r>
          </w:p>
        </w:tc>
        <w:tc>
          <w:tcPr>
            <w:tcW w:w="850" w:type="dxa"/>
            <w:tcBorders>
              <w:top w:val="nil"/>
              <w:left w:val="nil"/>
              <w:bottom w:val="single" w:sz="8" w:space="0" w:color="auto"/>
              <w:right w:val="nil"/>
            </w:tcBorders>
            <w:shd w:val="clear" w:color="auto" w:fill="auto"/>
            <w:noWrap/>
            <w:vAlign w:val="bottom"/>
            <w:hideMark/>
          </w:tcPr>
          <w:p w14:paraId="315AED86" w14:textId="41863FB6" w:rsidR="00487E08" w:rsidRPr="007337C6" w:rsidRDefault="00487E08" w:rsidP="002C778E">
            <w:pPr>
              <w:spacing w:after="0" w:line="240" w:lineRule="auto"/>
              <w:jc w:val="right"/>
              <w:rPr>
                <w:rFonts w:ascii="Trebuchet MS" w:hAnsi="Trebuchet MS"/>
                <w:color w:val="000000"/>
                <w:sz w:val="18"/>
                <w:szCs w:val="18"/>
              </w:rPr>
            </w:pPr>
            <w:r w:rsidRPr="007337C6">
              <w:rPr>
                <w:rFonts w:ascii="Trebuchet MS" w:hAnsi="Trebuchet MS" w:cs="Calibri"/>
                <w:color w:val="000000"/>
                <w:sz w:val="18"/>
                <w:szCs w:val="18"/>
              </w:rPr>
              <w:t>30.0</w:t>
            </w:r>
          </w:p>
        </w:tc>
        <w:tc>
          <w:tcPr>
            <w:tcW w:w="851" w:type="dxa"/>
            <w:tcBorders>
              <w:top w:val="nil"/>
              <w:left w:val="nil"/>
              <w:bottom w:val="single" w:sz="8" w:space="0" w:color="auto"/>
              <w:right w:val="single" w:sz="8" w:space="0" w:color="auto"/>
            </w:tcBorders>
            <w:shd w:val="clear" w:color="auto" w:fill="auto"/>
            <w:noWrap/>
            <w:vAlign w:val="bottom"/>
            <w:hideMark/>
          </w:tcPr>
          <w:p w14:paraId="08570A85" w14:textId="56470CEC" w:rsidR="00487E08" w:rsidRPr="007337C6" w:rsidRDefault="00487E08" w:rsidP="002C778E">
            <w:pPr>
              <w:spacing w:after="0" w:line="240" w:lineRule="auto"/>
              <w:jc w:val="right"/>
              <w:rPr>
                <w:rFonts w:ascii="Trebuchet MS" w:hAnsi="Trebuchet MS"/>
                <w:color w:val="000000"/>
                <w:sz w:val="18"/>
                <w:szCs w:val="18"/>
              </w:rPr>
            </w:pPr>
            <w:r w:rsidRPr="007337C6">
              <w:rPr>
                <w:rFonts w:ascii="Trebuchet MS" w:hAnsi="Trebuchet MS" w:cs="Calibri"/>
                <w:color w:val="000000"/>
                <w:sz w:val="18"/>
                <w:szCs w:val="18"/>
              </w:rPr>
              <w:t>25.2</w:t>
            </w:r>
          </w:p>
        </w:tc>
        <w:tc>
          <w:tcPr>
            <w:tcW w:w="850" w:type="dxa"/>
            <w:tcBorders>
              <w:top w:val="nil"/>
              <w:left w:val="nil"/>
              <w:bottom w:val="single" w:sz="8" w:space="0" w:color="auto"/>
              <w:right w:val="nil"/>
            </w:tcBorders>
            <w:shd w:val="clear" w:color="auto" w:fill="auto"/>
            <w:noWrap/>
            <w:vAlign w:val="bottom"/>
            <w:hideMark/>
          </w:tcPr>
          <w:p w14:paraId="0E3B45D2" w14:textId="7EC79179" w:rsidR="00487E08" w:rsidRPr="007337C6" w:rsidRDefault="00487E08" w:rsidP="002C778E">
            <w:pPr>
              <w:spacing w:after="0" w:line="240" w:lineRule="auto"/>
              <w:jc w:val="right"/>
              <w:rPr>
                <w:rFonts w:ascii="Trebuchet MS" w:hAnsi="Trebuchet MS"/>
                <w:color w:val="000000"/>
                <w:sz w:val="18"/>
                <w:szCs w:val="18"/>
              </w:rPr>
            </w:pPr>
            <w:r w:rsidRPr="007337C6">
              <w:rPr>
                <w:rFonts w:ascii="Trebuchet MS" w:hAnsi="Trebuchet MS" w:cs="Calibri"/>
                <w:color w:val="000000"/>
                <w:sz w:val="18"/>
                <w:szCs w:val="18"/>
              </w:rPr>
              <w:t>35.0</w:t>
            </w:r>
          </w:p>
        </w:tc>
        <w:tc>
          <w:tcPr>
            <w:tcW w:w="993" w:type="dxa"/>
            <w:tcBorders>
              <w:top w:val="nil"/>
              <w:left w:val="nil"/>
              <w:bottom w:val="single" w:sz="8" w:space="0" w:color="auto"/>
              <w:right w:val="nil"/>
            </w:tcBorders>
            <w:shd w:val="clear" w:color="auto" w:fill="auto"/>
            <w:noWrap/>
            <w:vAlign w:val="bottom"/>
            <w:hideMark/>
          </w:tcPr>
          <w:p w14:paraId="12F230EE" w14:textId="4924C3B2" w:rsidR="00487E08" w:rsidRPr="007337C6" w:rsidRDefault="00487E08" w:rsidP="002C778E">
            <w:pPr>
              <w:spacing w:after="0" w:line="240" w:lineRule="auto"/>
              <w:jc w:val="right"/>
              <w:rPr>
                <w:rFonts w:ascii="Trebuchet MS" w:hAnsi="Trebuchet MS"/>
                <w:color w:val="000000"/>
                <w:sz w:val="18"/>
                <w:szCs w:val="18"/>
              </w:rPr>
            </w:pPr>
            <w:r w:rsidRPr="007337C6">
              <w:rPr>
                <w:rFonts w:ascii="Trebuchet MS" w:hAnsi="Trebuchet MS" w:cs="Calibri"/>
                <w:color w:val="000000"/>
                <w:sz w:val="18"/>
                <w:szCs w:val="18"/>
              </w:rPr>
              <w:t>24.5</w:t>
            </w:r>
          </w:p>
        </w:tc>
        <w:tc>
          <w:tcPr>
            <w:tcW w:w="992" w:type="dxa"/>
            <w:tcBorders>
              <w:top w:val="nil"/>
              <w:left w:val="nil"/>
              <w:bottom w:val="single" w:sz="8" w:space="0" w:color="auto"/>
              <w:right w:val="single" w:sz="8" w:space="0" w:color="auto"/>
            </w:tcBorders>
            <w:shd w:val="clear" w:color="auto" w:fill="auto"/>
            <w:noWrap/>
            <w:vAlign w:val="bottom"/>
            <w:hideMark/>
          </w:tcPr>
          <w:p w14:paraId="704BD14E" w14:textId="22745D81" w:rsidR="00487E08" w:rsidRPr="007337C6" w:rsidRDefault="00487E08" w:rsidP="002C778E">
            <w:pPr>
              <w:spacing w:after="0" w:line="240" w:lineRule="auto"/>
              <w:jc w:val="right"/>
              <w:rPr>
                <w:rFonts w:ascii="Trebuchet MS" w:hAnsi="Trebuchet MS"/>
                <w:color w:val="000000"/>
                <w:sz w:val="18"/>
                <w:szCs w:val="18"/>
              </w:rPr>
            </w:pPr>
            <w:r w:rsidRPr="007337C6">
              <w:rPr>
                <w:rFonts w:ascii="Trebuchet MS" w:hAnsi="Trebuchet MS" w:cs="Calibri"/>
                <w:color w:val="000000"/>
                <w:sz w:val="18"/>
                <w:szCs w:val="18"/>
              </w:rPr>
              <w:t>7.6</w:t>
            </w:r>
          </w:p>
        </w:tc>
      </w:tr>
    </w:tbl>
    <w:p w14:paraId="30D40B78" w14:textId="77777777" w:rsidR="00B2600C" w:rsidRPr="007337C6" w:rsidRDefault="00B2600C" w:rsidP="00B2600C">
      <w:pPr>
        <w:pStyle w:val="BodyTextAfterTableGraphic"/>
        <w:tabs>
          <w:tab w:val="clear" w:pos="360"/>
          <w:tab w:val="clear" w:pos="720"/>
        </w:tabs>
        <w:spacing w:before="0" w:after="0" w:line="240" w:lineRule="auto"/>
        <w:rPr>
          <w:rFonts w:ascii="Trebuchet MS" w:hAnsi="Trebuchet MS"/>
          <w:sz w:val="20"/>
          <w:szCs w:val="20"/>
        </w:rPr>
      </w:pPr>
    </w:p>
    <w:p w14:paraId="51C8BA48" w14:textId="77777777" w:rsidR="00B2600C" w:rsidRPr="007337C6" w:rsidRDefault="00B2600C" w:rsidP="00B2600C">
      <w:pPr>
        <w:pStyle w:val="BodyTextAfterTableGraphic"/>
        <w:tabs>
          <w:tab w:val="clear" w:pos="360"/>
          <w:tab w:val="clear" w:pos="720"/>
        </w:tabs>
        <w:spacing w:before="0" w:after="0" w:line="240" w:lineRule="auto"/>
        <w:rPr>
          <w:rFonts w:ascii="Trebuchet MS" w:hAnsi="Trebuchet MS"/>
          <w:sz w:val="20"/>
          <w:szCs w:val="20"/>
        </w:rPr>
      </w:pPr>
      <w:r w:rsidRPr="007337C6">
        <w:rPr>
          <w:rFonts w:ascii="Trebuchet MS" w:hAnsi="Trebuchet MS"/>
          <w:sz w:val="20"/>
          <w:szCs w:val="20"/>
        </w:rPr>
        <w:t xml:space="preserve">It can be seen from the table above that all legal entities involved in the Transfer are well capitalised and remain strongly capitalised after the Transfer. </w:t>
      </w:r>
    </w:p>
    <w:p w14:paraId="05E634C2" w14:textId="77777777" w:rsidR="00B2600C" w:rsidRPr="007337C6" w:rsidRDefault="00B2600C" w:rsidP="00D52F35">
      <w:pPr>
        <w:pStyle w:val="BodyTextAfterTableGraphic"/>
        <w:tabs>
          <w:tab w:val="clear" w:pos="360"/>
          <w:tab w:val="clear" w:pos="720"/>
        </w:tabs>
        <w:spacing w:before="0" w:after="0" w:line="240" w:lineRule="auto"/>
        <w:rPr>
          <w:rFonts w:ascii="Trebuchet MS" w:hAnsi="Trebuchet MS"/>
          <w:sz w:val="20"/>
          <w:szCs w:val="20"/>
        </w:rPr>
      </w:pPr>
    </w:p>
    <w:p w14:paraId="7180D4FC" w14:textId="7677A8E0" w:rsidR="003A0756" w:rsidRPr="007337C6" w:rsidRDefault="003A0756" w:rsidP="00B5481E">
      <w:pPr>
        <w:pStyle w:val="BodyTextAfterTableGraphic"/>
        <w:tabs>
          <w:tab w:val="clear" w:pos="360"/>
          <w:tab w:val="clear" w:pos="720"/>
        </w:tabs>
        <w:spacing w:before="0" w:after="0" w:line="240" w:lineRule="auto"/>
        <w:rPr>
          <w:rFonts w:ascii="Trebuchet MS" w:hAnsi="Trebuchet MS"/>
          <w:sz w:val="20"/>
          <w:szCs w:val="20"/>
        </w:rPr>
      </w:pPr>
    </w:p>
    <w:p w14:paraId="679697C7" w14:textId="1C04ABD7" w:rsidR="003A0756" w:rsidRPr="007337C6" w:rsidRDefault="000100D7" w:rsidP="00B5481E">
      <w:pPr>
        <w:pStyle w:val="BodyTextAfterTableGraphic"/>
        <w:tabs>
          <w:tab w:val="clear" w:pos="360"/>
          <w:tab w:val="clear" w:pos="720"/>
        </w:tabs>
        <w:spacing w:before="0" w:after="0" w:line="240" w:lineRule="auto"/>
        <w:rPr>
          <w:rFonts w:ascii="Trebuchet MS" w:hAnsi="Trebuchet MS"/>
          <w:b/>
          <w:bCs/>
          <w:sz w:val="20"/>
          <w:szCs w:val="20"/>
          <w:u w:val="single"/>
        </w:rPr>
      </w:pPr>
      <w:r w:rsidRPr="007337C6">
        <w:rPr>
          <w:rFonts w:ascii="Trebuchet MS" w:hAnsi="Trebuchet MS"/>
          <w:b/>
          <w:bCs/>
          <w:sz w:val="20"/>
          <w:szCs w:val="20"/>
          <w:u w:val="single"/>
        </w:rPr>
        <w:t>Roll forward to 3Q20</w:t>
      </w:r>
    </w:p>
    <w:p w14:paraId="7D4A5891" w14:textId="4E079644" w:rsidR="003A0756" w:rsidRPr="007337C6" w:rsidRDefault="003A0756" w:rsidP="006558A6">
      <w:pPr>
        <w:pStyle w:val="BodyTextAfterTableGraphic"/>
        <w:tabs>
          <w:tab w:val="clear" w:pos="360"/>
          <w:tab w:val="clear" w:pos="720"/>
        </w:tabs>
        <w:spacing w:before="0" w:after="0" w:line="259" w:lineRule="auto"/>
        <w:rPr>
          <w:rFonts w:ascii="Trebuchet MS" w:hAnsi="Trebuchet MS"/>
          <w:sz w:val="20"/>
          <w:szCs w:val="20"/>
        </w:rPr>
      </w:pPr>
      <w:r w:rsidRPr="007337C6">
        <w:rPr>
          <w:rFonts w:ascii="Trebuchet MS" w:hAnsi="Trebuchet MS"/>
          <w:sz w:val="20"/>
          <w:szCs w:val="20"/>
        </w:rPr>
        <w:t xml:space="preserve">We have rolled forward the financial assessment of </w:t>
      </w:r>
      <w:r w:rsidR="00C407B1" w:rsidRPr="007337C6">
        <w:rPr>
          <w:rFonts w:ascii="Trebuchet MS" w:hAnsi="Trebuchet MS"/>
          <w:sz w:val="20"/>
          <w:szCs w:val="20"/>
        </w:rPr>
        <w:t>the Transfer</w:t>
      </w:r>
      <w:r w:rsidRPr="007337C6">
        <w:rPr>
          <w:rFonts w:ascii="Trebuchet MS" w:hAnsi="Trebuchet MS"/>
          <w:sz w:val="20"/>
          <w:szCs w:val="20"/>
        </w:rPr>
        <w:t xml:space="preserve"> to the end of 3Q20 to present the view of capital to the last quarter end before the actual Transfer.</w:t>
      </w:r>
    </w:p>
    <w:p w14:paraId="70800456" w14:textId="2EFFED77" w:rsidR="00B5481E" w:rsidRPr="007337C6" w:rsidRDefault="00B5481E" w:rsidP="006558A6">
      <w:pPr>
        <w:pStyle w:val="BodyTextAfterTableGraphic"/>
        <w:tabs>
          <w:tab w:val="clear" w:pos="360"/>
          <w:tab w:val="clear" w:pos="720"/>
        </w:tabs>
        <w:spacing w:before="0" w:after="0" w:line="259" w:lineRule="auto"/>
        <w:rPr>
          <w:rFonts w:ascii="Trebuchet MS" w:hAnsi="Trebuchet MS"/>
          <w:sz w:val="20"/>
          <w:szCs w:val="20"/>
        </w:rPr>
      </w:pPr>
      <w:r w:rsidRPr="007337C6">
        <w:rPr>
          <w:rFonts w:ascii="Trebuchet MS" w:hAnsi="Trebuchet MS"/>
          <w:sz w:val="20"/>
          <w:szCs w:val="20"/>
        </w:rPr>
        <w:t xml:space="preserve">At 3Q20, </w:t>
      </w:r>
      <w:r w:rsidR="00270847" w:rsidRPr="007337C6">
        <w:rPr>
          <w:rFonts w:ascii="Trebuchet MS" w:hAnsi="Trebuchet MS"/>
          <w:sz w:val="20"/>
          <w:szCs w:val="20"/>
        </w:rPr>
        <w:t xml:space="preserve">before and after </w:t>
      </w:r>
      <w:r w:rsidR="00C407B1" w:rsidRPr="007337C6">
        <w:rPr>
          <w:rFonts w:ascii="Trebuchet MS" w:hAnsi="Trebuchet MS"/>
          <w:sz w:val="20"/>
          <w:szCs w:val="20"/>
        </w:rPr>
        <w:t>the Transfer</w:t>
      </w:r>
      <w:r w:rsidR="00270847" w:rsidRPr="007337C6">
        <w:rPr>
          <w:rFonts w:ascii="Trebuchet MS" w:hAnsi="Trebuchet MS"/>
          <w:sz w:val="20"/>
          <w:szCs w:val="20"/>
        </w:rPr>
        <w:t xml:space="preserve">, </w:t>
      </w:r>
      <w:r w:rsidRPr="007337C6">
        <w:rPr>
          <w:rFonts w:ascii="Trebuchet MS" w:hAnsi="Trebuchet MS"/>
          <w:sz w:val="20"/>
          <w:szCs w:val="20"/>
        </w:rPr>
        <w:t xml:space="preserve">the SCR, risk appetite buffer and economic view of capital are as follows: </w:t>
      </w:r>
    </w:p>
    <w:p w14:paraId="2B45A9F3" w14:textId="77777777" w:rsidR="00D35031" w:rsidRPr="007337C6" w:rsidRDefault="00D35031" w:rsidP="006558A6">
      <w:pPr>
        <w:pStyle w:val="BodyTextAfterTableGraphic"/>
        <w:tabs>
          <w:tab w:val="clear" w:pos="360"/>
          <w:tab w:val="clear" w:pos="720"/>
        </w:tabs>
        <w:spacing w:before="0" w:after="0" w:line="259" w:lineRule="auto"/>
        <w:rPr>
          <w:rFonts w:ascii="Trebuchet MS" w:hAnsi="Trebuchet MS"/>
          <w:sz w:val="20"/>
          <w:szCs w:val="20"/>
        </w:rPr>
      </w:pPr>
    </w:p>
    <w:p w14:paraId="7A334A67" w14:textId="77777777" w:rsidR="00B5481E" w:rsidRPr="007337C6" w:rsidRDefault="00B5481E" w:rsidP="00B5481E">
      <w:pPr>
        <w:pStyle w:val="BodyTextAfterTableGraphic"/>
        <w:tabs>
          <w:tab w:val="clear" w:pos="360"/>
          <w:tab w:val="clear" w:pos="720"/>
        </w:tabs>
        <w:spacing w:before="0" w:after="0" w:line="240" w:lineRule="auto"/>
        <w:rPr>
          <w:rFonts w:ascii="Trebuchet MS" w:hAnsi="Trebuchet MS"/>
          <w:sz w:val="20"/>
          <w:szCs w:val="20"/>
        </w:rPr>
      </w:pPr>
    </w:p>
    <w:tbl>
      <w:tblPr>
        <w:tblW w:w="8789" w:type="dxa"/>
        <w:tblLook w:val="04A0" w:firstRow="1" w:lastRow="0" w:firstColumn="1" w:lastColumn="0" w:noHBand="0" w:noVBand="1"/>
      </w:tblPr>
      <w:tblGrid>
        <w:gridCol w:w="3161"/>
        <w:gridCol w:w="1092"/>
        <w:gridCol w:w="850"/>
        <w:gridCol w:w="851"/>
        <w:gridCol w:w="850"/>
        <w:gridCol w:w="993"/>
        <w:gridCol w:w="992"/>
      </w:tblGrid>
      <w:tr w:rsidR="00270847" w:rsidRPr="007337C6" w14:paraId="239F313F" w14:textId="77777777" w:rsidTr="00270847">
        <w:trPr>
          <w:trHeight w:val="269"/>
        </w:trPr>
        <w:tc>
          <w:tcPr>
            <w:tcW w:w="3161" w:type="dxa"/>
            <w:tcBorders>
              <w:top w:val="nil"/>
              <w:left w:val="nil"/>
              <w:bottom w:val="nil"/>
              <w:right w:val="nil"/>
            </w:tcBorders>
            <w:shd w:val="clear" w:color="auto" w:fill="auto"/>
            <w:noWrap/>
            <w:vAlign w:val="center"/>
            <w:hideMark/>
          </w:tcPr>
          <w:p w14:paraId="53370E4D" w14:textId="77777777" w:rsidR="00270847" w:rsidRPr="007337C6" w:rsidRDefault="00270847" w:rsidP="003616F6">
            <w:pPr>
              <w:spacing w:after="0" w:line="240" w:lineRule="auto"/>
              <w:jc w:val="right"/>
              <w:rPr>
                <w:rFonts w:ascii="Trebuchet MS" w:eastAsia="Times New Roman" w:hAnsi="Trebuchet MS" w:cs="Calibri"/>
                <w:color w:val="000000"/>
                <w:sz w:val="20"/>
                <w:szCs w:val="20"/>
                <w:lang w:eastAsia="en-GB"/>
              </w:rPr>
            </w:pPr>
            <w:r w:rsidRPr="007337C6">
              <w:rPr>
                <w:rFonts w:ascii="Trebuchet MS" w:eastAsia="Times New Roman" w:hAnsi="Trebuchet MS" w:cs="Calibri"/>
                <w:color w:val="000000"/>
                <w:sz w:val="20"/>
                <w:szCs w:val="20"/>
                <w:lang w:eastAsia="en-GB"/>
              </w:rPr>
              <w:t>£m</w:t>
            </w:r>
          </w:p>
        </w:tc>
        <w:tc>
          <w:tcPr>
            <w:tcW w:w="2793" w:type="dxa"/>
            <w:gridSpan w:val="3"/>
            <w:tcBorders>
              <w:top w:val="single" w:sz="8" w:space="0" w:color="auto"/>
              <w:left w:val="single" w:sz="8" w:space="0" w:color="auto"/>
              <w:bottom w:val="nil"/>
              <w:right w:val="single" w:sz="8" w:space="0" w:color="auto"/>
            </w:tcBorders>
            <w:shd w:val="clear" w:color="auto" w:fill="auto"/>
            <w:noWrap/>
            <w:vAlign w:val="center"/>
            <w:hideMark/>
          </w:tcPr>
          <w:p w14:paraId="000A8993" w14:textId="7A250438" w:rsidR="00270847" w:rsidRPr="007337C6" w:rsidRDefault="00270847" w:rsidP="006602E0">
            <w:pPr>
              <w:spacing w:after="0" w:line="240" w:lineRule="auto"/>
              <w:jc w:val="center"/>
              <w:rPr>
                <w:rFonts w:ascii="Trebuchet MS" w:eastAsia="Times New Roman" w:hAnsi="Trebuchet MS" w:cs="Calibri"/>
                <w:color w:val="000000"/>
                <w:sz w:val="20"/>
                <w:szCs w:val="20"/>
                <w:lang w:eastAsia="en-GB"/>
              </w:rPr>
            </w:pPr>
            <w:r w:rsidRPr="007337C6">
              <w:rPr>
                <w:rFonts w:ascii="Trebuchet MS" w:eastAsia="Times New Roman" w:hAnsi="Trebuchet MS" w:cs="Calibri"/>
                <w:color w:val="000000"/>
                <w:sz w:val="20"/>
                <w:szCs w:val="20"/>
                <w:lang w:eastAsia="en-GB"/>
              </w:rPr>
              <w:t>Pre-</w:t>
            </w:r>
            <w:r w:rsidR="00514A42" w:rsidRPr="007337C6">
              <w:rPr>
                <w:rFonts w:ascii="Trebuchet MS" w:eastAsia="Times New Roman" w:hAnsi="Trebuchet MS" w:cs="Calibri"/>
                <w:color w:val="000000"/>
                <w:sz w:val="20"/>
                <w:szCs w:val="20"/>
                <w:lang w:eastAsia="en-GB"/>
              </w:rPr>
              <w:t>T</w:t>
            </w:r>
            <w:r w:rsidRPr="007337C6">
              <w:rPr>
                <w:rFonts w:ascii="Trebuchet MS" w:eastAsia="Times New Roman" w:hAnsi="Trebuchet MS" w:cs="Calibri"/>
                <w:color w:val="000000"/>
                <w:sz w:val="20"/>
                <w:szCs w:val="20"/>
                <w:lang w:eastAsia="en-GB"/>
              </w:rPr>
              <w:t>ransfer (as at 3Q20)</w:t>
            </w:r>
          </w:p>
        </w:tc>
        <w:tc>
          <w:tcPr>
            <w:tcW w:w="2835" w:type="dxa"/>
            <w:gridSpan w:val="3"/>
            <w:tcBorders>
              <w:top w:val="single" w:sz="8" w:space="0" w:color="auto"/>
              <w:left w:val="nil"/>
              <w:bottom w:val="nil"/>
              <w:right w:val="single" w:sz="8" w:space="0" w:color="000000"/>
            </w:tcBorders>
            <w:shd w:val="clear" w:color="auto" w:fill="auto"/>
            <w:noWrap/>
            <w:vAlign w:val="center"/>
            <w:hideMark/>
          </w:tcPr>
          <w:p w14:paraId="2F4C77DD" w14:textId="31523159" w:rsidR="00270847" w:rsidRPr="007337C6" w:rsidRDefault="007B0679" w:rsidP="006602E0">
            <w:pPr>
              <w:spacing w:after="0" w:line="240" w:lineRule="auto"/>
              <w:jc w:val="center"/>
              <w:rPr>
                <w:rFonts w:ascii="Trebuchet MS" w:eastAsia="Times New Roman" w:hAnsi="Trebuchet MS" w:cs="Calibri"/>
                <w:color w:val="000000"/>
                <w:sz w:val="20"/>
                <w:szCs w:val="20"/>
                <w:lang w:eastAsia="en-GB"/>
              </w:rPr>
            </w:pPr>
            <w:r w:rsidRPr="007337C6">
              <w:rPr>
                <w:rFonts w:ascii="Trebuchet MS" w:eastAsia="Times New Roman" w:hAnsi="Trebuchet MS" w:cs="Calibri"/>
                <w:color w:val="000000"/>
                <w:sz w:val="20"/>
                <w:szCs w:val="20"/>
                <w:lang w:eastAsia="en-GB"/>
              </w:rPr>
              <w:t>Post-</w:t>
            </w:r>
            <w:r w:rsidR="00DD51C1" w:rsidRPr="007337C6">
              <w:rPr>
                <w:rFonts w:ascii="Trebuchet MS" w:eastAsia="Times New Roman" w:hAnsi="Trebuchet MS" w:cs="Calibri"/>
                <w:color w:val="000000"/>
                <w:sz w:val="20"/>
                <w:szCs w:val="20"/>
                <w:lang w:eastAsia="en-GB"/>
              </w:rPr>
              <w:t xml:space="preserve">Transfer </w:t>
            </w:r>
            <w:r w:rsidR="00270847" w:rsidRPr="007337C6">
              <w:rPr>
                <w:rFonts w:ascii="Trebuchet MS" w:eastAsia="Times New Roman" w:hAnsi="Trebuchet MS" w:cs="Calibri"/>
                <w:color w:val="000000"/>
                <w:sz w:val="20"/>
                <w:szCs w:val="20"/>
                <w:lang w:eastAsia="en-GB"/>
              </w:rPr>
              <w:t>(as at 3Q20 + impact of Transfer)</w:t>
            </w:r>
          </w:p>
        </w:tc>
      </w:tr>
      <w:tr w:rsidR="00270847" w:rsidRPr="007337C6" w14:paraId="27F28E94" w14:textId="77777777" w:rsidTr="00487E08">
        <w:trPr>
          <w:trHeight w:val="269"/>
        </w:trPr>
        <w:tc>
          <w:tcPr>
            <w:tcW w:w="3161" w:type="dxa"/>
            <w:tcBorders>
              <w:top w:val="nil"/>
              <w:left w:val="nil"/>
              <w:bottom w:val="nil"/>
              <w:right w:val="nil"/>
            </w:tcBorders>
            <w:shd w:val="clear" w:color="auto" w:fill="auto"/>
            <w:noWrap/>
            <w:vAlign w:val="bottom"/>
            <w:hideMark/>
          </w:tcPr>
          <w:p w14:paraId="2D311032" w14:textId="77777777" w:rsidR="00270847" w:rsidRPr="007337C6" w:rsidRDefault="00270847" w:rsidP="00270847">
            <w:pPr>
              <w:spacing w:after="0" w:line="240" w:lineRule="auto"/>
              <w:rPr>
                <w:rFonts w:ascii="Trebuchet MS" w:eastAsia="Times New Roman" w:hAnsi="Trebuchet MS" w:cs="Calibri"/>
                <w:color w:val="000000"/>
                <w:sz w:val="20"/>
                <w:szCs w:val="20"/>
                <w:lang w:eastAsia="en-GB"/>
              </w:rPr>
            </w:pPr>
          </w:p>
        </w:tc>
        <w:tc>
          <w:tcPr>
            <w:tcW w:w="1092" w:type="dxa"/>
            <w:tcBorders>
              <w:top w:val="single" w:sz="8" w:space="0" w:color="auto"/>
              <w:left w:val="single" w:sz="8" w:space="0" w:color="auto"/>
              <w:bottom w:val="single" w:sz="8" w:space="0" w:color="auto"/>
              <w:right w:val="nil"/>
            </w:tcBorders>
            <w:shd w:val="clear" w:color="000000" w:fill="D9D9D9"/>
            <w:noWrap/>
            <w:vAlign w:val="center"/>
            <w:hideMark/>
          </w:tcPr>
          <w:p w14:paraId="4E47293D" w14:textId="77777777" w:rsidR="00270847" w:rsidRPr="007337C6" w:rsidRDefault="00270847" w:rsidP="00270847">
            <w:pPr>
              <w:spacing w:after="0" w:line="240" w:lineRule="auto"/>
              <w:jc w:val="right"/>
              <w:rPr>
                <w:rFonts w:ascii="Trebuchet MS" w:eastAsia="Times New Roman" w:hAnsi="Trebuchet MS" w:cs="Calibri"/>
                <w:color w:val="000000"/>
                <w:sz w:val="20"/>
                <w:szCs w:val="20"/>
                <w:lang w:eastAsia="en-GB"/>
              </w:rPr>
            </w:pPr>
            <w:r w:rsidRPr="007337C6">
              <w:rPr>
                <w:rFonts w:ascii="Trebuchet MS" w:eastAsia="Times New Roman" w:hAnsi="Trebuchet MS" w:cs="Calibri"/>
                <w:color w:val="000000"/>
                <w:sz w:val="20"/>
                <w:szCs w:val="20"/>
                <w:lang w:eastAsia="en-GB"/>
              </w:rPr>
              <w:t>AGIL</w:t>
            </w:r>
          </w:p>
        </w:tc>
        <w:tc>
          <w:tcPr>
            <w:tcW w:w="850" w:type="dxa"/>
            <w:tcBorders>
              <w:top w:val="single" w:sz="8" w:space="0" w:color="auto"/>
              <w:left w:val="nil"/>
              <w:bottom w:val="single" w:sz="8" w:space="0" w:color="auto"/>
              <w:right w:val="nil"/>
            </w:tcBorders>
            <w:shd w:val="clear" w:color="000000" w:fill="D9D9D9"/>
            <w:noWrap/>
            <w:vAlign w:val="center"/>
            <w:hideMark/>
          </w:tcPr>
          <w:p w14:paraId="1B05EDE7" w14:textId="77777777" w:rsidR="00270847" w:rsidRPr="007337C6" w:rsidRDefault="00270847" w:rsidP="00270847">
            <w:pPr>
              <w:spacing w:after="0" w:line="240" w:lineRule="auto"/>
              <w:jc w:val="right"/>
              <w:rPr>
                <w:rFonts w:ascii="Trebuchet MS" w:eastAsia="Times New Roman" w:hAnsi="Trebuchet MS" w:cs="Calibri"/>
                <w:color w:val="000000"/>
                <w:sz w:val="20"/>
                <w:szCs w:val="20"/>
                <w:lang w:eastAsia="en-GB"/>
              </w:rPr>
            </w:pPr>
            <w:r w:rsidRPr="007337C6">
              <w:rPr>
                <w:rFonts w:ascii="Trebuchet MS" w:eastAsia="Times New Roman" w:hAnsi="Trebuchet MS" w:cs="Calibri"/>
                <w:color w:val="000000"/>
                <w:sz w:val="20"/>
                <w:szCs w:val="20"/>
                <w:lang w:eastAsia="en-GB"/>
              </w:rPr>
              <w:t>LGI</w:t>
            </w:r>
          </w:p>
        </w:tc>
        <w:tc>
          <w:tcPr>
            <w:tcW w:w="851" w:type="dxa"/>
            <w:tcBorders>
              <w:top w:val="single" w:sz="8" w:space="0" w:color="auto"/>
              <w:left w:val="nil"/>
              <w:bottom w:val="single" w:sz="8" w:space="0" w:color="auto"/>
              <w:right w:val="single" w:sz="8" w:space="0" w:color="auto"/>
            </w:tcBorders>
            <w:shd w:val="clear" w:color="000000" w:fill="D9D9D9"/>
            <w:noWrap/>
            <w:vAlign w:val="center"/>
            <w:hideMark/>
          </w:tcPr>
          <w:p w14:paraId="4D8485E4" w14:textId="77777777" w:rsidR="00270847" w:rsidRPr="007337C6" w:rsidRDefault="00270847" w:rsidP="00270847">
            <w:pPr>
              <w:spacing w:after="0" w:line="240" w:lineRule="auto"/>
              <w:jc w:val="right"/>
              <w:rPr>
                <w:rFonts w:ascii="Trebuchet MS" w:eastAsia="Times New Roman" w:hAnsi="Trebuchet MS" w:cs="Calibri"/>
                <w:color w:val="000000"/>
                <w:sz w:val="20"/>
                <w:szCs w:val="20"/>
                <w:lang w:eastAsia="en-GB"/>
              </w:rPr>
            </w:pPr>
            <w:r w:rsidRPr="007337C6">
              <w:rPr>
                <w:rFonts w:ascii="Trebuchet MS" w:eastAsia="Times New Roman" w:hAnsi="Trebuchet MS" w:cs="Calibri"/>
                <w:color w:val="000000"/>
                <w:sz w:val="20"/>
                <w:szCs w:val="20"/>
                <w:lang w:eastAsia="en-GB"/>
              </w:rPr>
              <w:t>AEI</w:t>
            </w:r>
          </w:p>
        </w:tc>
        <w:tc>
          <w:tcPr>
            <w:tcW w:w="850" w:type="dxa"/>
            <w:tcBorders>
              <w:top w:val="single" w:sz="8" w:space="0" w:color="auto"/>
              <w:left w:val="nil"/>
              <w:bottom w:val="single" w:sz="8" w:space="0" w:color="auto"/>
              <w:right w:val="nil"/>
            </w:tcBorders>
            <w:shd w:val="clear" w:color="000000" w:fill="D9D9D9"/>
            <w:noWrap/>
            <w:vAlign w:val="center"/>
            <w:hideMark/>
          </w:tcPr>
          <w:p w14:paraId="701166E6" w14:textId="77777777" w:rsidR="00270847" w:rsidRPr="007337C6" w:rsidRDefault="00270847" w:rsidP="00270847">
            <w:pPr>
              <w:spacing w:after="0" w:line="240" w:lineRule="auto"/>
              <w:jc w:val="right"/>
              <w:rPr>
                <w:rFonts w:ascii="Trebuchet MS" w:eastAsia="Times New Roman" w:hAnsi="Trebuchet MS" w:cs="Calibri"/>
                <w:color w:val="000000"/>
                <w:sz w:val="20"/>
                <w:szCs w:val="20"/>
                <w:lang w:eastAsia="en-GB"/>
              </w:rPr>
            </w:pPr>
            <w:r w:rsidRPr="007337C6">
              <w:rPr>
                <w:rFonts w:ascii="Trebuchet MS" w:eastAsia="Times New Roman" w:hAnsi="Trebuchet MS" w:cs="Calibri"/>
                <w:color w:val="000000"/>
                <w:sz w:val="20"/>
                <w:szCs w:val="20"/>
                <w:lang w:eastAsia="en-GB"/>
              </w:rPr>
              <w:t>AGIL</w:t>
            </w:r>
          </w:p>
        </w:tc>
        <w:tc>
          <w:tcPr>
            <w:tcW w:w="993" w:type="dxa"/>
            <w:tcBorders>
              <w:top w:val="single" w:sz="8" w:space="0" w:color="auto"/>
              <w:left w:val="nil"/>
              <w:bottom w:val="single" w:sz="8" w:space="0" w:color="auto"/>
              <w:right w:val="nil"/>
            </w:tcBorders>
            <w:shd w:val="clear" w:color="000000" w:fill="D9D9D9"/>
            <w:noWrap/>
            <w:vAlign w:val="center"/>
            <w:hideMark/>
          </w:tcPr>
          <w:p w14:paraId="66A5750C" w14:textId="77777777" w:rsidR="00270847" w:rsidRPr="007337C6" w:rsidRDefault="00270847" w:rsidP="00270847">
            <w:pPr>
              <w:spacing w:after="0" w:line="240" w:lineRule="auto"/>
              <w:jc w:val="right"/>
              <w:rPr>
                <w:rFonts w:ascii="Trebuchet MS" w:eastAsia="Times New Roman" w:hAnsi="Trebuchet MS" w:cs="Calibri"/>
                <w:color w:val="000000"/>
                <w:sz w:val="20"/>
                <w:szCs w:val="20"/>
                <w:lang w:eastAsia="en-GB"/>
              </w:rPr>
            </w:pPr>
            <w:r w:rsidRPr="007337C6">
              <w:rPr>
                <w:rFonts w:ascii="Trebuchet MS" w:eastAsia="Times New Roman" w:hAnsi="Trebuchet MS" w:cs="Calibri"/>
                <w:color w:val="000000"/>
                <w:sz w:val="20"/>
                <w:szCs w:val="20"/>
                <w:lang w:eastAsia="en-GB"/>
              </w:rPr>
              <w:t>LGI</w:t>
            </w:r>
          </w:p>
        </w:tc>
        <w:tc>
          <w:tcPr>
            <w:tcW w:w="992" w:type="dxa"/>
            <w:tcBorders>
              <w:top w:val="single" w:sz="8" w:space="0" w:color="auto"/>
              <w:left w:val="nil"/>
              <w:bottom w:val="single" w:sz="8" w:space="0" w:color="auto"/>
              <w:right w:val="single" w:sz="8" w:space="0" w:color="auto"/>
            </w:tcBorders>
            <w:shd w:val="clear" w:color="000000" w:fill="D9D9D9"/>
            <w:noWrap/>
            <w:vAlign w:val="center"/>
            <w:hideMark/>
          </w:tcPr>
          <w:p w14:paraId="748831FC" w14:textId="77777777" w:rsidR="00270847" w:rsidRPr="007337C6" w:rsidRDefault="00270847" w:rsidP="00270847">
            <w:pPr>
              <w:spacing w:after="0" w:line="240" w:lineRule="auto"/>
              <w:jc w:val="right"/>
              <w:rPr>
                <w:rFonts w:ascii="Trebuchet MS" w:eastAsia="Times New Roman" w:hAnsi="Trebuchet MS" w:cs="Calibri"/>
                <w:color w:val="000000"/>
                <w:sz w:val="20"/>
                <w:szCs w:val="20"/>
                <w:lang w:eastAsia="en-GB"/>
              </w:rPr>
            </w:pPr>
            <w:r w:rsidRPr="007337C6">
              <w:rPr>
                <w:rFonts w:ascii="Trebuchet MS" w:eastAsia="Times New Roman" w:hAnsi="Trebuchet MS" w:cs="Calibri"/>
                <w:color w:val="000000"/>
                <w:sz w:val="20"/>
                <w:szCs w:val="20"/>
                <w:lang w:eastAsia="en-GB"/>
              </w:rPr>
              <w:t>AEI</w:t>
            </w:r>
          </w:p>
        </w:tc>
      </w:tr>
      <w:tr w:rsidR="00D96CB4" w:rsidRPr="007337C6" w14:paraId="1E18DEB4" w14:textId="77777777" w:rsidTr="00ED58A9">
        <w:trPr>
          <w:trHeight w:val="260"/>
        </w:trPr>
        <w:tc>
          <w:tcPr>
            <w:tcW w:w="3161" w:type="dxa"/>
            <w:tcBorders>
              <w:top w:val="nil"/>
              <w:left w:val="nil"/>
              <w:bottom w:val="nil"/>
              <w:right w:val="nil"/>
            </w:tcBorders>
            <w:shd w:val="clear" w:color="auto" w:fill="auto"/>
            <w:noWrap/>
            <w:vAlign w:val="center"/>
            <w:hideMark/>
          </w:tcPr>
          <w:p w14:paraId="1F548B53" w14:textId="77777777" w:rsidR="00D96CB4" w:rsidRPr="007337C6" w:rsidRDefault="00D96CB4" w:rsidP="00D96CB4">
            <w:pPr>
              <w:spacing w:after="0" w:line="240" w:lineRule="auto"/>
              <w:jc w:val="right"/>
              <w:rPr>
                <w:rFonts w:ascii="Trebuchet MS" w:eastAsia="Times New Roman" w:hAnsi="Trebuchet MS" w:cs="Calibri"/>
                <w:color w:val="000000"/>
                <w:sz w:val="20"/>
                <w:szCs w:val="20"/>
                <w:lang w:eastAsia="en-GB"/>
              </w:rPr>
            </w:pPr>
            <w:r w:rsidRPr="007337C6">
              <w:rPr>
                <w:rFonts w:ascii="Trebuchet MS" w:eastAsia="Times New Roman" w:hAnsi="Trebuchet MS" w:cs="Calibri"/>
                <w:color w:val="000000"/>
                <w:sz w:val="20"/>
                <w:szCs w:val="20"/>
                <w:lang w:eastAsia="en-GB"/>
              </w:rPr>
              <w:t>Eligible Own Funds</w:t>
            </w:r>
          </w:p>
        </w:tc>
        <w:tc>
          <w:tcPr>
            <w:tcW w:w="1092" w:type="dxa"/>
            <w:tcBorders>
              <w:top w:val="nil"/>
              <w:left w:val="single" w:sz="8" w:space="0" w:color="auto"/>
              <w:bottom w:val="nil"/>
              <w:right w:val="nil"/>
            </w:tcBorders>
            <w:shd w:val="clear" w:color="auto" w:fill="auto"/>
            <w:noWrap/>
            <w:vAlign w:val="bottom"/>
            <w:hideMark/>
          </w:tcPr>
          <w:p w14:paraId="0971B48A" w14:textId="6533EF88" w:rsidR="00D96CB4" w:rsidRPr="007337C6" w:rsidRDefault="00D96CB4">
            <w:pPr>
              <w:spacing w:after="0" w:line="240" w:lineRule="auto"/>
              <w:jc w:val="right"/>
              <w:rPr>
                <w:rFonts w:ascii="Trebuchet MS" w:eastAsia="Times New Roman" w:hAnsi="Trebuchet MS" w:cs="Calibri"/>
                <w:color w:val="000000"/>
                <w:sz w:val="18"/>
                <w:szCs w:val="18"/>
                <w:lang w:eastAsia="en-GB"/>
              </w:rPr>
            </w:pPr>
            <w:r w:rsidRPr="007337C6">
              <w:rPr>
                <w:rFonts w:ascii="Trebuchet MS" w:hAnsi="Trebuchet MS" w:cs="Calibri"/>
                <w:color w:val="000000"/>
                <w:sz w:val="18"/>
                <w:szCs w:val="18"/>
              </w:rPr>
              <w:t>97.5</w:t>
            </w:r>
          </w:p>
        </w:tc>
        <w:tc>
          <w:tcPr>
            <w:tcW w:w="850" w:type="dxa"/>
            <w:tcBorders>
              <w:top w:val="nil"/>
              <w:left w:val="nil"/>
              <w:bottom w:val="nil"/>
              <w:right w:val="nil"/>
            </w:tcBorders>
            <w:shd w:val="clear" w:color="auto" w:fill="auto"/>
            <w:noWrap/>
            <w:vAlign w:val="bottom"/>
            <w:hideMark/>
          </w:tcPr>
          <w:p w14:paraId="6A27CD40" w14:textId="14793429" w:rsidR="00D96CB4" w:rsidRPr="007337C6" w:rsidRDefault="00D96CB4">
            <w:pPr>
              <w:spacing w:after="0" w:line="240" w:lineRule="auto"/>
              <w:jc w:val="right"/>
              <w:rPr>
                <w:rFonts w:ascii="Trebuchet MS" w:eastAsia="Times New Roman" w:hAnsi="Trebuchet MS" w:cs="Calibri"/>
                <w:color w:val="000000"/>
                <w:sz w:val="18"/>
                <w:szCs w:val="18"/>
                <w:lang w:eastAsia="en-GB"/>
              </w:rPr>
            </w:pPr>
            <w:r w:rsidRPr="007337C6">
              <w:rPr>
                <w:rFonts w:ascii="Trebuchet MS" w:hAnsi="Trebuchet MS" w:cs="Calibri"/>
                <w:color w:val="000000"/>
                <w:sz w:val="18"/>
                <w:szCs w:val="18"/>
              </w:rPr>
              <w:t>82.7</w:t>
            </w:r>
          </w:p>
        </w:tc>
        <w:tc>
          <w:tcPr>
            <w:tcW w:w="851" w:type="dxa"/>
            <w:tcBorders>
              <w:top w:val="nil"/>
              <w:left w:val="nil"/>
              <w:bottom w:val="nil"/>
              <w:right w:val="single" w:sz="8" w:space="0" w:color="auto"/>
            </w:tcBorders>
            <w:shd w:val="clear" w:color="auto" w:fill="auto"/>
            <w:noWrap/>
            <w:vAlign w:val="bottom"/>
            <w:hideMark/>
          </w:tcPr>
          <w:p w14:paraId="13F9F628" w14:textId="1B938C04" w:rsidR="00D96CB4" w:rsidRPr="007337C6" w:rsidRDefault="00D96CB4">
            <w:pPr>
              <w:spacing w:after="0" w:line="240" w:lineRule="auto"/>
              <w:jc w:val="right"/>
              <w:rPr>
                <w:rFonts w:ascii="Trebuchet MS" w:eastAsia="Times New Roman" w:hAnsi="Trebuchet MS" w:cs="Calibri"/>
                <w:color w:val="000000"/>
                <w:sz w:val="18"/>
                <w:szCs w:val="18"/>
                <w:lang w:eastAsia="en-GB"/>
              </w:rPr>
            </w:pPr>
            <w:r w:rsidRPr="007337C6">
              <w:rPr>
                <w:rFonts w:ascii="Trebuchet MS" w:hAnsi="Trebuchet MS" w:cs="Calibri"/>
                <w:color w:val="000000"/>
                <w:sz w:val="18"/>
                <w:szCs w:val="18"/>
              </w:rPr>
              <w:t>34.6</w:t>
            </w:r>
          </w:p>
        </w:tc>
        <w:tc>
          <w:tcPr>
            <w:tcW w:w="850" w:type="dxa"/>
            <w:tcBorders>
              <w:top w:val="nil"/>
              <w:left w:val="nil"/>
              <w:bottom w:val="nil"/>
              <w:right w:val="nil"/>
            </w:tcBorders>
            <w:shd w:val="clear" w:color="auto" w:fill="auto"/>
            <w:noWrap/>
            <w:vAlign w:val="bottom"/>
            <w:hideMark/>
          </w:tcPr>
          <w:p w14:paraId="77651134" w14:textId="066F416F" w:rsidR="00D96CB4" w:rsidRPr="007337C6" w:rsidRDefault="00D96CB4">
            <w:pPr>
              <w:spacing w:after="0" w:line="240" w:lineRule="auto"/>
              <w:jc w:val="right"/>
              <w:rPr>
                <w:rFonts w:ascii="Trebuchet MS" w:eastAsia="Times New Roman" w:hAnsi="Trebuchet MS" w:cs="Calibri"/>
                <w:color w:val="000000"/>
                <w:sz w:val="18"/>
                <w:szCs w:val="18"/>
                <w:lang w:eastAsia="en-GB"/>
              </w:rPr>
            </w:pPr>
            <w:r w:rsidRPr="007337C6">
              <w:rPr>
                <w:rFonts w:ascii="Trebuchet MS" w:hAnsi="Trebuchet MS" w:cs="Calibri"/>
                <w:color w:val="000000"/>
                <w:sz w:val="18"/>
                <w:szCs w:val="18"/>
              </w:rPr>
              <w:t>106.4</w:t>
            </w:r>
          </w:p>
        </w:tc>
        <w:tc>
          <w:tcPr>
            <w:tcW w:w="993" w:type="dxa"/>
            <w:tcBorders>
              <w:top w:val="nil"/>
              <w:left w:val="nil"/>
              <w:bottom w:val="nil"/>
              <w:right w:val="nil"/>
            </w:tcBorders>
            <w:shd w:val="clear" w:color="auto" w:fill="auto"/>
            <w:noWrap/>
            <w:vAlign w:val="bottom"/>
            <w:hideMark/>
          </w:tcPr>
          <w:p w14:paraId="7B51EC53" w14:textId="6F43E463" w:rsidR="00D96CB4" w:rsidRPr="00D96CB4" w:rsidRDefault="00D96CB4">
            <w:pPr>
              <w:spacing w:after="0" w:line="240" w:lineRule="auto"/>
              <w:jc w:val="right"/>
              <w:rPr>
                <w:rFonts w:ascii="Trebuchet MS" w:eastAsia="Times New Roman" w:hAnsi="Trebuchet MS" w:cs="Calibri"/>
                <w:color w:val="000000"/>
                <w:sz w:val="18"/>
                <w:szCs w:val="18"/>
                <w:lang w:eastAsia="en-GB"/>
              </w:rPr>
            </w:pPr>
            <w:r w:rsidRPr="00ED58A9">
              <w:rPr>
                <w:rFonts w:ascii="Trebuchet MS" w:hAnsi="Trebuchet MS" w:cs="Calibri"/>
                <w:color w:val="000000"/>
                <w:sz w:val="18"/>
                <w:szCs w:val="18"/>
              </w:rPr>
              <w:t>4</w:t>
            </w:r>
            <w:r w:rsidR="00E63363">
              <w:rPr>
                <w:rFonts w:ascii="Trebuchet MS" w:hAnsi="Trebuchet MS" w:cs="Calibri"/>
                <w:color w:val="000000"/>
                <w:sz w:val="18"/>
                <w:szCs w:val="18"/>
              </w:rPr>
              <w:t>8.8</w:t>
            </w:r>
          </w:p>
        </w:tc>
        <w:tc>
          <w:tcPr>
            <w:tcW w:w="992" w:type="dxa"/>
            <w:tcBorders>
              <w:top w:val="nil"/>
              <w:left w:val="nil"/>
              <w:bottom w:val="nil"/>
              <w:right w:val="single" w:sz="8" w:space="0" w:color="auto"/>
            </w:tcBorders>
            <w:shd w:val="clear" w:color="auto" w:fill="auto"/>
            <w:noWrap/>
            <w:vAlign w:val="bottom"/>
            <w:hideMark/>
          </w:tcPr>
          <w:p w14:paraId="10E436D9" w14:textId="1A9DAB5E" w:rsidR="00D96CB4" w:rsidRPr="00D96CB4" w:rsidRDefault="00D96CB4">
            <w:pPr>
              <w:spacing w:after="0" w:line="240" w:lineRule="auto"/>
              <w:jc w:val="right"/>
              <w:rPr>
                <w:rFonts w:ascii="Trebuchet MS" w:eastAsia="Times New Roman" w:hAnsi="Trebuchet MS" w:cs="Calibri"/>
                <w:color w:val="000000"/>
                <w:sz w:val="18"/>
                <w:szCs w:val="18"/>
                <w:lang w:eastAsia="en-GB"/>
              </w:rPr>
            </w:pPr>
            <w:r w:rsidRPr="00ED58A9">
              <w:rPr>
                <w:rFonts w:ascii="Trebuchet MS" w:hAnsi="Trebuchet MS" w:cs="Calibri"/>
                <w:color w:val="000000"/>
                <w:sz w:val="18"/>
                <w:szCs w:val="18"/>
              </w:rPr>
              <w:t>60.6</w:t>
            </w:r>
          </w:p>
        </w:tc>
      </w:tr>
      <w:tr w:rsidR="00D96CB4" w:rsidRPr="007337C6" w14:paraId="68249165" w14:textId="77777777" w:rsidTr="00ED58A9">
        <w:trPr>
          <w:trHeight w:val="260"/>
        </w:trPr>
        <w:tc>
          <w:tcPr>
            <w:tcW w:w="3161" w:type="dxa"/>
            <w:tcBorders>
              <w:top w:val="nil"/>
              <w:left w:val="nil"/>
              <w:bottom w:val="nil"/>
              <w:right w:val="nil"/>
            </w:tcBorders>
            <w:shd w:val="clear" w:color="auto" w:fill="auto"/>
            <w:noWrap/>
            <w:vAlign w:val="center"/>
            <w:hideMark/>
          </w:tcPr>
          <w:p w14:paraId="3B2457E3" w14:textId="77777777" w:rsidR="00D96CB4" w:rsidRPr="007337C6" w:rsidRDefault="00D96CB4" w:rsidP="00D96CB4">
            <w:pPr>
              <w:spacing w:after="0" w:line="240" w:lineRule="auto"/>
              <w:jc w:val="right"/>
              <w:rPr>
                <w:rFonts w:ascii="Trebuchet MS" w:eastAsia="Times New Roman" w:hAnsi="Trebuchet MS" w:cs="Calibri"/>
                <w:color w:val="000000"/>
                <w:sz w:val="20"/>
                <w:szCs w:val="20"/>
                <w:lang w:eastAsia="en-GB"/>
              </w:rPr>
            </w:pPr>
            <w:r w:rsidRPr="007337C6">
              <w:rPr>
                <w:rFonts w:ascii="Trebuchet MS" w:eastAsia="Times New Roman" w:hAnsi="Trebuchet MS" w:cs="Calibri"/>
                <w:color w:val="000000"/>
                <w:sz w:val="20"/>
                <w:szCs w:val="20"/>
                <w:lang w:eastAsia="en-GB"/>
              </w:rPr>
              <w:t>Regulatory SCR</w:t>
            </w:r>
          </w:p>
        </w:tc>
        <w:tc>
          <w:tcPr>
            <w:tcW w:w="1092" w:type="dxa"/>
            <w:tcBorders>
              <w:top w:val="nil"/>
              <w:left w:val="single" w:sz="8" w:space="0" w:color="auto"/>
              <w:bottom w:val="nil"/>
              <w:right w:val="nil"/>
            </w:tcBorders>
            <w:shd w:val="clear" w:color="auto" w:fill="auto"/>
            <w:noWrap/>
            <w:vAlign w:val="bottom"/>
            <w:hideMark/>
          </w:tcPr>
          <w:p w14:paraId="7C4C77A7" w14:textId="68F76A8D" w:rsidR="00D96CB4" w:rsidRPr="007337C6" w:rsidRDefault="00D96CB4">
            <w:pPr>
              <w:spacing w:after="0" w:line="240" w:lineRule="auto"/>
              <w:jc w:val="right"/>
              <w:rPr>
                <w:rFonts w:ascii="Trebuchet MS" w:eastAsia="Times New Roman" w:hAnsi="Trebuchet MS" w:cs="Calibri"/>
                <w:color w:val="000000"/>
                <w:sz w:val="18"/>
                <w:szCs w:val="18"/>
                <w:lang w:eastAsia="en-GB"/>
              </w:rPr>
            </w:pPr>
            <w:r w:rsidRPr="007337C6">
              <w:rPr>
                <w:rFonts w:ascii="Trebuchet MS" w:hAnsi="Trebuchet MS" w:cs="Calibri"/>
                <w:color w:val="000000"/>
                <w:sz w:val="18"/>
                <w:szCs w:val="18"/>
              </w:rPr>
              <w:t>57.1</w:t>
            </w:r>
          </w:p>
        </w:tc>
        <w:tc>
          <w:tcPr>
            <w:tcW w:w="850" w:type="dxa"/>
            <w:tcBorders>
              <w:top w:val="nil"/>
              <w:left w:val="nil"/>
              <w:bottom w:val="nil"/>
              <w:right w:val="nil"/>
            </w:tcBorders>
            <w:shd w:val="clear" w:color="auto" w:fill="auto"/>
            <w:noWrap/>
            <w:vAlign w:val="bottom"/>
            <w:hideMark/>
          </w:tcPr>
          <w:p w14:paraId="1C9739DB" w14:textId="76BF94BC" w:rsidR="00D96CB4" w:rsidRPr="007337C6" w:rsidRDefault="00D96CB4">
            <w:pPr>
              <w:spacing w:after="0" w:line="240" w:lineRule="auto"/>
              <w:jc w:val="right"/>
              <w:rPr>
                <w:rFonts w:ascii="Trebuchet MS" w:eastAsia="Times New Roman" w:hAnsi="Trebuchet MS" w:cs="Calibri"/>
                <w:color w:val="000000"/>
                <w:sz w:val="18"/>
                <w:szCs w:val="18"/>
                <w:lang w:eastAsia="en-GB"/>
              </w:rPr>
            </w:pPr>
            <w:r w:rsidRPr="007337C6">
              <w:rPr>
                <w:rFonts w:ascii="Trebuchet MS" w:hAnsi="Trebuchet MS" w:cs="Calibri"/>
                <w:color w:val="000000"/>
                <w:sz w:val="18"/>
                <w:szCs w:val="18"/>
              </w:rPr>
              <w:t>35.9</w:t>
            </w:r>
          </w:p>
        </w:tc>
        <w:tc>
          <w:tcPr>
            <w:tcW w:w="851" w:type="dxa"/>
            <w:tcBorders>
              <w:top w:val="nil"/>
              <w:left w:val="nil"/>
              <w:bottom w:val="nil"/>
              <w:right w:val="single" w:sz="8" w:space="0" w:color="auto"/>
            </w:tcBorders>
            <w:shd w:val="clear" w:color="auto" w:fill="auto"/>
            <w:noWrap/>
            <w:vAlign w:val="bottom"/>
            <w:hideMark/>
          </w:tcPr>
          <w:p w14:paraId="70934785" w14:textId="2EB9F79E" w:rsidR="00D96CB4" w:rsidRPr="007337C6" w:rsidRDefault="00D96CB4">
            <w:pPr>
              <w:spacing w:after="0" w:line="240" w:lineRule="auto"/>
              <w:jc w:val="right"/>
              <w:rPr>
                <w:rFonts w:ascii="Trebuchet MS" w:eastAsia="Times New Roman" w:hAnsi="Trebuchet MS" w:cs="Calibri"/>
                <w:color w:val="000000"/>
                <w:sz w:val="18"/>
                <w:szCs w:val="18"/>
                <w:lang w:eastAsia="en-GB"/>
              </w:rPr>
            </w:pPr>
            <w:r w:rsidRPr="007337C6">
              <w:rPr>
                <w:rFonts w:ascii="Trebuchet MS" w:hAnsi="Trebuchet MS" w:cs="Calibri"/>
                <w:color w:val="000000"/>
                <w:sz w:val="18"/>
                <w:szCs w:val="18"/>
              </w:rPr>
              <w:t>15.6</w:t>
            </w:r>
          </w:p>
        </w:tc>
        <w:tc>
          <w:tcPr>
            <w:tcW w:w="850" w:type="dxa"/>
            <w:tcBorders>
              <w:top w:val="nil"/>
              <w:left w:val="nil"/>
              <w:bottom w:val="nil"/>
              <w:right w:val="nil"/>
            </w:tcBorders>
            <w:shd w:val="clear" w:color="auto" w:fill="auto"/>
            <w:noWrap/>
            <w:vAlign w:val="bottom"/>
            <w:hideMark/>
          </w:tcPr>
          <w:p w14:paraId="5D2BA5A9" w14:textId="2F5D4409" w:rsidR="00D96CB4" w:rsidRPr="007337C6" w:rsidRDefault="00D96CB4">
            <w:pPr>
              <w:spacing w:after="0" w:line="240" w:lineRule="auto"/>
              <w:jc w:val="right"/>
              <w:rPr>
                <w:rFonts w:ascii="Trebuchet MS" w:eastAsia="Times New Roman" w:hAnsi="Trebuchet MS" w:cs="Calibri"/>
                <w:color w:val="000000"/>
                <w:sz w:val="18"/>
                <w:szCs w:val="18"/>
                <w:lang w:eastAsia="en-GB"/>
              </w:rPr>
            </w:pPr>
            <w:r w:rsidRPr="007337C6">
              <w:rPr>
                <w:rFonts w:ascii="Trebuchet MS" w:hAnsi="Trebuchet MS" w:cs="Calibri"/>
                <w:color w:val="000000"/>
                <w:sz w:val="18"/>
                <w:szCs w:val="18"/>
              </w:rPr>
              <w:t>52.0</w:t>
            </w:r>
          </w:p>
        </w:tc>
        <w:tc>
          <w:tcPr>
            <w:tcW w:w="993" w:type="dxa"/>
            <w:tcBorders>
              <w:top w:val="nil"/>
              <w:left w:val="nil"/>
              <w:bottom w:val="nil"/>
              <w:right w:val="nil"/>
            </w:tcBorders>
            <w:shd w:val="clear" w:color="auto" w:fill="auto"/>
            <w:noWrap/>
            <w:vAlign w:val="bottom"/>
            <w:hideMark/>
          </w:tcPr>
          <w:p w14:paraId="6E7F3768" w14:textId="2DC4034D" w:rsidR="00D96CB4" w:rsidRPr="00D96CB4" w:rsidRDefault="00D96CB4">
            <w:pPr>
              <w:spacing w:after="0" w:line="240" w:lineRule="auto"/>
              <w:jc w:val="right"/>
              <w:rPr>
                <w:rFonts w:ascii="Trebuchet MS" w:eastAsia="Times New Roman" w:hAnsi="Trebuchet MS" w:cs="Calibri"/>
                <w:color w:val="000000"/>
                <w:sz w:val="18"/>
                <w:szCs w:val="18"/>
                <w:lang w:eastAsia="en-GB"/>
              </w:rPr>
            </w:pPr>
            <w:r w:rsidRPr="00ED58A9">
              <w:rPr>
                <w:rFonts w:ascii="Trebuchet MS" w:hAnsi="Trebuchet MS" w:cs="Calibri"/>
                <w:color w:val="000000"/>
                <w:sz w:val="18"/>
                <w:szCs w:val="18"/>
              </w:rPr>
              <w:t>19.2</w:t>
            </w:r>
          </w:p>
        </w:tc>
        <w:tc>
          <w:tcPr>
            <w:tcW w:w="992" w:type="dxa"/>
            <w:tcBorders>
              <w:top w:val="nil"/>
              <w:left w:val="nil"/>
              <w:bottom w:val="nil"/>
              <w:right w:val="single" w:sz="8" w:space="0" w:color="auto"/>
            </w:tcBorders>
            <w:shd w:val="clear" w:color="auto" w:fill="auto"/>
            <w:noWrap/>
            <w:vAlign w:val="bottom"/>
            <w:hideMark/>
          </w:tcPr>
          <w:p w14:paraId="217D8A04" w14:textId="53BF65C2" w:rsidR="00D96CB4" w:rsidRPr="00D96CB4" w:rsidRDefault="00D96CB4">
            <w:pPr>
              <w:spacing w:after="0" w:line="240" w:lineRule="auto"/>
              <w:jc w:val="right"/>
              <w:rPr>
                <w:rFonts w:ascii="Trebuchet MS" w:eastAsia="Times New Roman" w:hAnsi="Trebuchet MS" w:cs="Calibri"/>
                <w:color w:val="000000"/>
                <w:sz w:val="18"/>
                <w:szCs w:val="18"/>
                <w:lang w:eastAsia="en-GB"/>
              </w:rPr>
            </w:pPr>
            <w:r w:rsidRPr="00ED58A9">
              <w:rPr>
                <w:rFonts w:ascii="Trebuchet MS" w:hAnsi="Trebuchet MS" w:cs="Calibri"/>
                <w:color w:val="000000"/>
                <w:sz w:val="18"/>
                <w:szCs w:val="18"/>
              </w:rPr>
              <w:t>39.8</w:t>
            </w:r>
          </w:p>
        </w:tc>
      </w:tr>
      <w:tr w:rsidR="00D96CB4" w:rsidRPr="007337C6" w14:paraId="543B22FA" w14:textId="77777777" w:rsidTr="00ED58A9">
        <w:trPr>
          <w:trHeight w:val="260"/>
        </w:trPr>
        <w:tc>
          <w:tcPr>
            <w:tcW w:w="3161" w:type="dxa"/>
            <w:tcBorders>
              <w:top w:val="nil"/>
              <w:left w:val="nil"/>
              <w:bottom w:val="nil"/>
              <w:right w:val="nil"/>
            </w:tcBorders>
            <w:shd w:val="clear" w:color="auto" w:fill="auto"/>
            <w:noWrap/>
            <w:vAlign w:val="center"/>
            <w:hideMark/>
          </w:tcPr>
          <w:p w14:paraId="5DEAB6A4" w14:textId="77777777" w:rsidR="00D96CB4" w:rsidRPr="007337C6" w:rsidRDefault="00D96CB4" w:rsidP="00D96CB4">
            <w:pPr>
              <w:spacing w:after="0" w:line="240" w:lineRule="auto"/>
              <w:jc w:val="right"/>
              <w:rPr>
                <w:rFonts w:ascii="Trebuchet MS" w:eastAsia="Times New Roman" w:hAnsi="Trebuchet MS" w:cs="Calibri"/>
                <w:color w:val="000000"/>
                <w:sz w:val="20"/>
                <w:szCs w:val="20"/>
                <w:lang w:eastAsia="en-GB"/>
              </w:rPr>
            </w:pPr>
            <w:r w:rsidRPr="007337C6">
              <w:rPr>
                <w:rFonts w:ascii="Trebuchet MS" w:eastAsia="Times New Roman" w:hAnsi="Trebuchet MS" w:cs="Calibri"/>
                <w:color w:val="000000"/>
                <w:sz w:val="20"/>
                <w:szCs w:val="20"/>
                <w:lang w:eastAsia="en-GB"/>
              </w:rPr>
              <w:t>SCR%</w:t>
            </w:r>
          </w:p>
        </w:tc>
        <w:tc>
          <w:tcPr>
            <w:tcW w:w="1092" w:type="dxa"/>
            <w:tcBorders>
              <w:top w:val="nil"/>
              <w:left w:val="single" w:sz="8" w:space="0" w:color="auto"/>
              <w:bottom w:val="nil"/>
              <w:right w:val="nil"/>
            </w:tcBorders>
            <w:shd w:val="clear" w:color="auto" w:fill="auto"/>
            <w:noWrap/>
            <w:vAlign w:val="bottom"/>
            <w:hideMark/>
          </w:tcPr>
          <w:p w14:paraId="106DA173" w14:textId="622DB3A8" w:rsidR="00D96CB4" w:rsidRPr="007337C6" w:rsidRDefault="00D96CB4">
            <w:pPr>
              <w:spacing w:after="0" w:line="240" w:lineRule="auto"/>
              <w:jc w:val="right"/>
              <w:rPr>
                <w:rFonts w:ascii="Trebuchet MS" w:eastAsia="Times New Roman" w:hAnsi="Trebuchet MS" w:cs="Calibri"/>
                <w:color w:val="000000"/>
                <w:sz w:val="18"/>
                <w:szCs w:val="18"/>
                <w:lang w:eastAsia="en-GB"/>
              </w:rPr>
            </w:pPr>
            <w:r w:rsidRPr="007337C6">
              <w:rPr>
                <w:rFonts w:ascii="Trebuchet MS" w:hAnsi="Trebuchet MS" w:cs="Calibri"/>
                <w:color w:val="000000"/>
                <w:sz w:val="18"/>
                <w:szCs w:val="18"/>
              </w:rPr>
              <w:t>171%</w:t>
            </w:r>
          </w:p>
        </w:tc>
        <w:tc>
          <w:tcPr>
            <w:tcW w:w="850" w:type="dxa"/>
            <w:tcBorders>
              <w:top w:val="nil"/>
              <w:left w:val="nil"/>
              <w:bottom w:val="nil"/>
              <w:right w:val="nil"/>
            </w:tcBorders>
            <w:shd w:val="clear" w:color="auto" w:fill="auto"/>
            <w:noWrap/>
            <w:vAlign w:val="bottom"/>
            <w:hideMark/>
          </w:tcPr>
          <w:p w14:paraId="58D77385" w14:textId="0E521E5C" w:rsidR="00D96CB4" w:rsidRPr="007337C6" w:rsidRDefault="00D96CB4">
            <w:pPr>
              <w:spacing w:after="0" w:line="240" w:lineRule="auto"/>
              <w:jc w:val="right"/>
              <w:rPr>
                <w:rFonts w:ascii="Trebuchet MS" w:eastAsia="Times New Roman" w:hAnsi="Trebuchet MS" w:cs="Calibri"/>
                <w:color w:val="000000"/>
                <w:sz w:val="18"/>
                <w:szCs w:val="18"/>
                <w:lang w:eastAsia="en-GB"/>
              </w:rPr>
            </w:pPr>
            <w:r w:rsidRPr="007337C6">
              <w:rPr>
                <w:rFonts w:ascii="Trebuchet MS" w:hAnsi="Trebuchet MS" w:cs="Calibri"/>
                <w:color w:val="000000"/>
                <w:sz w:val="18"/>
                <w:szCs w:val="18"/>
              </w:rPr>
              <w:t>230%</w:t>
            </w:r>
          </w:p>
        </w:tc>
        <w:tc>
          <w:tcPr>
            <w:tcW w:w="851" w:type="dxa"/>
            <w:tcBorders>
              <w:top w:val="nil"/>
              <w:left w:val="nil"/>
              <w:bottom w:val="nil"/>
              <w:right w:val="single" w:sz="8" w:space="0" w:color="auto"/>
            </w:tcBorders>
            <w:shd w:val="clear" w:color="auto" w:fill="auto"/>
            <w:noWrap/>
            <w:vAlign w:val="bottom"/>
            <w:hideMark/>
          </w:tcPr>
          <w:p w14:paraId="5C779EBD" w14:textId="7F63593A" w:rsidR="00D96CB4" w:rsidRPr="007337C6" w:rsidRDefault="00D96CB4">
            <w:pPr>
              <w:spacing w:after="0" w:line="240" w:lineRule="auto"/>
              <w:jc w:val="right"/>
              <w:rPr>
                <w:rFonts w:ascii="Trebuchet MS" w:eastAsia="Times New Roman" w:hAnsi="Trebuchet MS" w:cs="Calibri"/>
                <w:color w:val="000000"/>
                <w:sz w:val="18"/>
                <w:szCs w:val="18"/>
                <w:lang w:eastAsia="en-GB"/>
              </w:rPr>
            </w:pPr>
            <w:r w:rsidRPr="007337C6">
              <w:rPr>
                <w:rFonts w:ascii="Trebuchet MS" w:hAnsi="Trebuchet MS" w:cs="Calibri"/>
                <w:color w:val="000000"/>
                <w:sz w:val="18"/>
                <w:szCs w:val="18"/>
              </w:rPr>
              <w:t>222%</w:t>
            </w:r>
          </w:p>
        </w:tc>
        <w:tc>
          <w:tcPr>
            <w:tcW w:w="850" w:type="dxa"/>
            <w:tcBorders>
              <w:top w:val="nil"/>
              <w:left w:val="nil"/>
              <w:bottom w:val="nil"/>
              <w:right w:val="nil"/>
            </w:tcBorders>
            <w:shd w:val="clear" w:color="auto" w:fill="auto"/>
            <w:noWrap/>
            <w:vAlign w:val="bottom"/>
            <w:hideMark/>
          </w:tcPr>
          <w:p w14:paraId="7411A84D" w14:textId="216313E9" w:rsidR="00D96CB4" w:rsidRPr="007337C6" w:rsidRDefault="00D96CB4">
            <w:pPr>
              <w:spacing w:after="0" w:line="240" w:lineRule="auto"/>
              <w:jc w:val="right"/>
              <w:rPr>
                <w:rFonts w:ascii="Trebuchet MS" w:eastAsia="Times New Roman" w:hAnsi="Trebuchet MS" w:cs="Calibri"/>
                <w:color w:val="000000"/>
                <w:sz w:val="18"/>
                <w:szCs w:val="18"/>
                <w:lang w:eastAsia="en-GB"/>
              </w:rPr>
            </w:pPr>
            <w:r w:rsidRPr="007337C6">
              <w:rPr>
                <w:rFonts w:ascii="Trebuchet MS" w:hAnsi="Trebuchet MS" w:cs="Calibri"/>
                <w:color w:val="000000"/>
                <w:sz w:val="18"/>
                <w:szCs w:val="18"/>
              </w:rPr>
              <w:t>205%</w:t>
            </w:r>
          </w:p>
        </w:tc>
        <w:tc>
          <w:tcPr>
            <w:tcW w:w="993" w:type="dxa"/>
            <w:tcBorders>
              <w:top w:val="nil"/>
              <w:left w:val="nil"/>
              <w:bottom w:val="nil"/>
              <w:right w:val="nil"/>
            </w:tcBorders>
            <w:shd w:val="clear" w:color="auto" w:fill="auto"/>
            <w:noWrap/>
            <w:vAlign w:val="bottom"/>
            <w:hideMark/>
          </w:tcPr>
          <w:p w14:paraId="64728489" w14:textId="1ABD4EEA" w:rsidR="00D96CB4" w:rsidRPr="00D96CB4" w:rsidRDefault="00D96CB4">
            <w:pPr>
              <w:spacing w:after="0" w:line="240" w:lineRule="auto"/>
              <w:jc w:val="right"/>
              <w:rPr>
                <w:rFonts w:ascii="Trebuchet MS" w:eastAsia="Times New Roman" w:hAnsi="Trebuchet MS" w:cs="Calibri"/>
                <w:color w:val="000000"/>
                <w:sz w:val="18"/>
                <w:szCs w:val="18"/>
                <w:lang w:eastAsia="en-GB"/>
              </w:rPr>
            </w:pPr>
            <w:r w:rsidRPr="00ED58A9">
              <w:rPr>
                <w:rFonts w:ascii="Trebuchet MS" w:hAnsi="Trebuchet MS" w:cs="Calibri"/>
                <w:color w:val="000000"/>
                <w:sz w:val="18"/>
                <w:szCs w:val="18"/>
              </w:rPr>
              <w:t>2</w:t>
            </w:r>
            <w:r w:rsidR="00E63363">
              <w:rPr>
                <w:rFonts w:ascii="Trebuchet MS" w:hAnsi="Trebuchet MS" w:cs="Calibri"/>
                <w:color w:val="000000"/>
                <w:sz w:val="18"/>
                <w:szCs w:val="18"/>
              </w:rPr>
              <w:t>54</w:t>
            </w:r>
            <w:r w:rsidRPr="00ED58A9">
              <w:rPr>
                <w:rFonts w:ascii="Trebuchet MS" w:hAnsi="Trebuchet MS" w:cs="Calibri"/>
                <w:color w:val="000000"/>
                <w:sz w:val="18"/>
                <w:szCs w:val="18"/>
              </w:rPr>
              <w:t>%</w:t>
            </w:r>
          </w:p>
        </w:tc>
        <w:tc>
          <w:tcPr>
            <w:tcW w:w="992" w:type="dxa"/>
            <w:tcBorders>
              <w:top w:val="nil"/>
              <w:left w:val="nil"/>
              <w:bottom w:val="nil"/>
              <w:right w:val="single" w:sz="8" w:space="0" w:color="auto"/>
            </w:tcBorders>
            <w:shd w:val="clear" w:color="auto" w:fill="auto"/>
            <w:noWrap/>
            <w:vAlign w:val="bottom"/>
            <w:hideMark/>
          </w:tcPr>
          <w:p w14:paraId="185371A2" w14:textId="6B8918AF" w:rsidR="00D96CB4" w:rsidRPr="00D96CB4" w:rsidRDefault="00D96CB4">
            <w:pPr>
              <w:spacing w:after="0" w:line="240" w:lineRule="auto"/>
              <w:jc w:val="right"/>
              <w:rPr>
                <w:rFonts w:ascii="Trebuchet MS" w:eastAsia="Times New Roman" w:hAnsi="Trebuchet MS" w:cs="Calibri"/>
                <w:color w:val="000000"/>
                <w:sz w:val="18"/>
                <w:szCs w:val="18"/>
                <w:lang w:eastAsia="en-GB"/>
              </w:rPr>
            </w:pPr>
            <w:r w:rsidRPr="00ED58A9">
              <w:rPr>
                <w:rFonts w:ascii="Trebuchet MS" w:hAnsi="Trebuchet MS" w:cs="Calibri"/>
                <w:color w:val="000000"/>
                <w:sz w:val="18"/>
                <w:szCs w:val="18"/>
              </w:rPr>
              <w:t>153%</w:t>
            </w:r>
          </w:p>
        </w:tc>
      </w:tr>
      <w:tr w:rsidR="00D96CB4" w:rsidRPr="007337C6" w14:paraId="1C410177" w14:textId="77777777" w:rsidTr="00ED58A9">
        <w:trPr>
          <w:trHeight w:val="260"/>
        </w:trPr>
        <w:tc>
          <w:tcPr>
            <w:tcW w:w="3161" w:type="dxa"/>
            <w:tcBorders>
              <w:top w:val="nil"/>
              <w:left w:val="nil"/>
              <w:bottom w:val="nil"/>
              <w:right w:val="nil"/>
            </w:tcBorders>
            <w:shd w:val="clear" w:color="auto" w:fill="auto"/>
            <w:noWrap/>
            <w:vAlign w:val="center"/>
            <w:hideMark/>
          </w:tcPr>
          <w:p w14:paraId="7BB9A377" w14:textId="77777777" w:rsidR="00D96CB4" w:rsidRPr="007337C6" w:rsidRDefault="00D96CB4" w:rsidP="00D96CB4">
            <w:pPr>
              <w:spacing w:after="0" w:line="240" w:lineRule="auto"/>
              <w:jc w:val="right"/>
              <w:rPr>
                <w:rFonts w:ascii="Trebuchet MS" w:eastAsia="Times New Roman" w:hAnsi="Trebuchet MS" w:cs="Calibri"/>
                <w:color w:val="000000"/>
                <w:sz w:val="20"/>
                <w:szCs w:val="20"/>
                <w:lang w:eastAsia="en-GB"/>
              </w:rPr>
            </w:pPr>
            <w:r w:rsidRPr="007337C6">
              <w:rPr>
                <w:rFonts w:ascii="Trebuchet MS" w:eastAsia="Times New Roman" w:hAnsi="Trebuchet MS" w:cs="Calibri"/>
                <w:color w:val="000000"/>
                <w:sz w:val="20"/>
                <w:szCs w:val="20"/>
                <w:lang w:eastAsia="en-GB"/>
              </w:rPr>
              <w:t>Risk Appetite buffer target</w:t>
            </w:r>
          </w:p>
        </w:tc>
        <w:tc>
          <w:tcPr>
            <w:tcW w:w="1092" w:type="dxa"/>
            <w:tcBorders>
              <w:top w:val="nil"/>
              <w:left w:val="single" w:sz="8" w:space="0" w:color="auto"/>
              <w:bottom w:val="nil"/>
              <w:right w:val="nil"/>
            </w:tcBorders>
            <w:shd w:val="clear" w:color="auto" w:fill="auto"/>
            <w:noWrap/>
            <w:vAlign w:val="bottom"/>
            <w:hideMark/>
          </w:tcPr>
          <w:p w14:paraId="1BC0F37C" w14:textId="143C79C4" w:rsidR="00D96CB4" w:rsidRPr="007337C6" w:rsidRDefault="00D96CB4">
            <w:pPr>
              <w:spacing w:after="0" w:line="240" w:lineRule="auto"/>
              <w:jc w:val="right"/>
              <w:rPr>
                <w:rFonts w:ascii="Trebuchet MS" w:eastAsia="Times New Roman" w:hAnsi="Trebuchet MS" w:cs="Calibri"/>
                <w:color w:val="000000"/>
                <w:sz w:val="18"/>
                <w:szCs w:val="18"/>
                <w:lang w:eastAsia="en-GB"/>
              </w:rPr>
            </w:pPr>
            <w:r w:rsidRPr="007337C6">
              <w:rPr>
                <w:rFonts w:ascii="Trebuchet MS" w:hAnsi="Trebuchet MS" w:cs="Calibri"/>
                <w:color w:val="000000"/>
                <w:sz w:val="18"/>
                <w:szCs w:val="18"/>
              </w:rPr>
              <w:t>135%</w:t>
            </w:r>
          </w:p>
        </w:tc>
        <w:tc>
          <w:tcPr>
            <w:tcW w:w="850" w:type="dxa"/>
            <w:tcBorders>
              <w:top w:val="nil"/>
              <w:left w:val="nil"/>
              <w:bottom w:val="nil"/>
              <w:right w:val="nil"/>
            </w:tcBorders>
            <w:shd w:val="clear" w:color="auto" w:fill="auto"/>
            <w:noWrap/>
            <w:vAlign w:val="bottom"/>
            <w:hideMark/>
          </w:tcPr>
          <w:p w14:paraId="54499B36" w14:textId="6F180534" w:rsidR="00D96CB4" w:rsidRPr="007337C6" w:rsidRDefault="00D96CB4">
            <w:pPr>
              <w:spacing w:after="0" w:line="240" w:lineRule="auto"/>
              <w:jc w:val="right"/>
              <w:rPr>
                <w:rFonts w:ascii="Trebuchet MS" w:eastAsia="Times New Roman" w:hAnsi="Trebuchet MS" w:cs="Calibri"/>
                <w:color w:val="000000"/>
                <w:sz w:val="18"/>
                <w:szCs w:val="18"/>
                <w:lang w:eastAsia="en-GB"/>
              </w:rPr>
            </w:pPr>
            <w:r w:rsidRPr="007337C6">
              <w:rPr>
                <w:rFonts w:ascii="Trebuchet MS" w:hAnsi="Trebuchet MS" w:cs="Calibri"/>
                <w:color w:val="000000"/>
                <w:sz w:val="18"/>
                <w:szCs w:val="18"/>
              </w:rPr>
              <w:t>125%</w:t>
            </w:r>
          </w:p>
        </w:tc>
        <w:tc>
          <w:tcPr>
            <w:tcW w:w="851" w:type="dxa"/>
            <w:tcBorders>
              <w:top w:val="nil"/>
              <w:left w:val="nil"/>
              <w:bottom w:val="nil"/>
              <w:right w:val="single" w:sz="8" w:space="0" w:color="auto"/>
            </w:tcBorders>
            <w:shd w:val="clear" w:color="auto" w:fill="auto"/>
            <w:noWrap/>
            <w:vAlign w:val="bottom"/>
            <w:hideMark/>
          </w:tcPr>
          <w:p w14:paraId="26D4452E" w14:textId="078C9428" w:rsidR="00D96CB4" w:rsidRPr="007337C6" w:rsidRDefault="00D96CB4">
            <w:pPr>
              <w:spacing w:after="0" w:line="240" w:lineRule="auto"/>
              <w:jc w:val="right"/>
              <w:rPr>
                <w:rFonts w:ascii="Trebuchet MS" w:eastAsia="Times New Roman" w:hAnsi="Trebuchet MS" w:cs="Calibri"/>
                <w:color w:val="000000"/>
                <w:sz w:val="18"/>
                <w:szCs w:val="18"/>
                <w:lang w:eastAsia="en-GB"/>
              </w:rPr>
            </w:pPr>
            <w:r w:rsidRPr="007337C6">
              <w:rPr>
                <w:rFonts w:ascii="Trebuchet MS" w:hAnsi="Trebuchet MS" w:cs="Calibri"/>
                <w:color w:val="000000"/>
                <w:sz w:val="18"/>
                <w:szCs w:val="18"/>
              </w:rPr>
              <w:t>140%</w:t>
            </w:r>
          </w:p>
        </w:tc>
        <w:tc>
          <w:tcPr>
            <w:tcW w:w="850" w:type="dxa"/>
            <w:tcBorders>
              <w:top w:val="nil"/>
              <w:left w:val="nil"/>
              <w:bottom w:val="nil"/>
              <w:right w:val="nil"/>
            </w:tcBorders>
            <w:shd w:val="clear" w:color="auto" w:fill="auto"/>
            <w:noWrap/>
            <w:vAlign w:val="bottom"/>
            <w:hideMark/>
          </w:tcPr>
          <w:p w14:paraId="386EB207" w14:textId="371C642D" w:rsidR="00D96CB4" w:rsidRPr="007337C6" w:rsidRDefault="00D96CB4">
            <w:pPr>
              <w:spacing w:after="0" w:line="240" w:lineRule="auto"/>
              <w:jc w:val="right"/>
              <w:rPr>
                <w:rFonts w:ascii="Trebuchet MS" w:eastAsia="Times New Roman" w:hAnsi="Trebuchet MS" w:cs="Calibri"/>
                <w:color w:val="000000"/>
                <w:sz w:val="18"/>
                <w:szCs w:val="18"/>
                <w:lang w:eastAsia="en-GB"/>
              </w:rPr>
            </w:pPr>
            <w:r w:rsidRPr="007337C6">
              <w:rPr>
                <w:rFonts w:ascii="Trebuchet MS" w:hAnsi="Trebuchet MS" w:cs="Calibri"/>
                <w:color w:val="000000"/>
                <w:sz w:val="18"/>
                <w:szCs w:val="18"/>
              </w:rPr>
              <w:t>135%</w:t>
            </w:r>
          </w:p>
        </w:tc>
        <w:tc>
          <w:tcPr>
            <w:tcW w:w="993" w:type="dxa"/>
            <w:tcBorders>
              <w:top w:val="nil"/>
              <w:left w:val="nil"/>
              <w:bottom w:val="nil"/>
              <w:right w:val="nil"/>
            </w:tcBorders>
            <w:shd w:val="clear" w:color="auto" w:fill="auto"/>
            <w:noWrap/>
            <w:vAlign w:val="bottom"/>
            <w:hideMark/>
          </w:tcPr>
          <w:p w14:paraId="09B098DA" w14:textId="0584DBD4" w:rsidR="00D96CB4" w:rsidRPr="00D96CB4" w:rsidRDefault="00D96CB4">
            <w:pPr>
              <w:spacing w:after="0" w:line="240" w:lineRule="auto"/>
              <w:jc w:val="right"/>
              <w:rPr>
                <w:rFonts w:ascii="Trebuchet MS" w:eastAsia="Times New Roman" w:hAnsi="Trebuchet MS" w:cs="Calibri"/>
                <w:color w:val="000000"/>
                <w:sz w:val="18"/>
                <w:szCs w:val="18"/>
                <w:lang w:eastAsia="en-GB"/>
              </w:rPr>
            </w:pPr>
            <w:r w:rsidRPr="00ED58A9">
              <w:rPr>
                <w:rFonts w:ascii="Trebuchet MS" w:hAnsi="Trebuchet MS" w:cs="Calibri"/>
                <w:color w:val="000000"/>
                <w:sz w:val="18"/>
                <w:szCs w:val="18"/>
              </w:rPr>
              <w:t>125%</w:t>
            </w:r>
          </w:p>
        </w:tc>
        <w:tc>
          <w:tcPr>
            <w:tcW w:w="992" w:type="dxa"/>
            <w:tcBorders>
              <w:top w:val="nil"/>
              <w:left w:val="nil"/>
              <w:bottom w:val="nil"/>
              <w:right w:val="single" w:sz="8" w:space="0" w:color="auto"/>
            </w:tcBorders>
            <w:shd w:val="clear" w:color="auto" w:fill="auto"/>
            <w:noWrap/>
            <w:vAlign w:val="bottom"/>
            <w:hideMark/>
          </w:tcPr>
          <w:p w14:paraId="56E4A2A9" w14:textId="54F1F702" w:rsidR="00D96CB4" w:rsidRPr="00D96CB4" w:rsidRDefault="00D96CB4">
            <w:pPr>
              <w:spacing w:after="0" w:line="240" w:lineRule="auto"/>
              <w:jc w:val="right"/>
              <w:rPr>
                <w:rFonts w:ascii="Trebuchet MS" w:eastAsia="Times New Roman" w:hAnsi="Trebuchet MS" w:cs="Calibri"/>
                <w:color w:val="000000"/>
                <w:sz w:val="18"/>
                <w:szCs w:val="18"/>
                <w:lang w:eastAsia="en-GB"/>
              </w:rPr>
            </w:pPr>
            <w:r w:rsidRPr="00ED58A9">
              <w:rPr>
                <w:rFonts w:ascii="Trebuchet MS" w:hAnsi="Trebuchet MS" w:cs="Calibri"/>
                <w:color w:val="000000"/>
                <w:sz w:val="18"/>
                <w:szCs w:val="18"/>
              </w:rPr>
              <w:t>140%</w:t>
            </w:r>
          </w:p>
        </w:tc>
      </w:tr>
      <w:tr w:rsidR="00D96CB4" w:rsidRPr="007337C6" w14:paraId="12557299" w14:textId="77777777" w:rsidTr="00ED58A9">
        <w:trPr>
          <w:trHeight w:val="269"/>
        </w:trPr>
        <w:tc>
          <w:tcPr>
            <w:tcW w:w="3161" w:type="dxa"/>
            <w:tcBorders>
              <w:top w:val="nil"/>
              <w:left w:val="nil"/>
              <w:bottom w:val="nil"/>
              <w:right w:val="nil"/>
            </w:tcBorders>
            <w:shd w:val="clear" w:color="auto" w:fill="auto"/>
            <w:noWrap/>
            <w:vAlign w:val="center"/>
            <w:hideMark/>
          </w:tcPr>
          <w:p w14:paraId="04E2046E" w14:textId="77777777" w:rsidR="00D96CB4" w:rsidRPr="007337C6" w:rsidRDefault="00D96CB4" w:rsidP="00D96CB4">
            <w:pPr>
              <w:spacing w:after="0" w:line="240" w:lineRule="auto"/>
              <w:jc w:val="right"/>
              <w:rPr>
                <w:rFonts w:ascii="Trebuchet MS" w:eastAsia="Times New Roman" w:hAnsi="Trebuchet MS" w:cs="Calibri"/>
                <w:color w:val="000000"/>
                <w:sz w:val="20"/>
                <w:szCs w:val="20"/>
                <w:lang w:eastAsia="en-GB"/>
              </w:rPr>
            </w:pPr>
            <w:r w:rsidRPr="007337C6">
              <w:rPr>
                <w:rFonts w:ascii="Trebuchet MS" w:eastAsia="Times New Roman" w:hAnsi="Trebuchet MS" w:cs="Calibri"/>
                <w:color w:val="000000"/>
                <w:sz w:val="20"/>
                <w:szCs w:val="20"/>
                <w:lang w:eastAsia="en-GB"/>
              </w:rPr>
              <w:t>Surplus (over the target buffer)</w:t>
            </w:r>
          </w:p>
        </w:tc>
        <w:tc>
          <w:tcPr>
            <w:tcW w:w="1092" w:type="dxa"/>
            <w:tcBorders>
              <w:top w:val="nil"/>
              <w:left w:val="single" w:sz="8" w:space="0" w:color="auto"/>
              <w:bottom w:val="single" w:sz="8" w:space="0" w:color="auto"/>
              <w:right w:val="nil"/>
            </w:tcBorders>
            <w:shd w:val="clear" w:color="auto" w:fill="auto"/>
            <w:noWrap/>
            <w:vAlign w:val="bottom"/>
            <w:hideMark/>
          </w:tcPr>
          <w:p w14:paraId="6DD0AD66" w14:textId="70A08961" w:rsidR="00D96CB4" w:rsidRPr="007337C6" w:rsidRDefault="00D96CB4">
            <w:pPr>
              <w:spacing w:after="0" w:line="240" w:lineRule="auto"/>
              <w:jc w:val="right"/>
              <w:rPr>
                <w:rFonts w:ascii="Trebuchet MS" w:eastAsia="Times New Roman" w:hAnsi="Trebuchet MS" w:cs="Calibri"/>
                <w:color w:val="000000"/>
                <w:sz w:val="18"/>
                <w:szCs w:val="18"/>
                <w:lang w:eastAsia="en-GB"/>
              </w:rPr>
            </w:pPr>
            <w:r w:rsidRPr="007337C6">
              <w:rPr>
                <w:rFonts w:ascii="Trebuchet MS" w:hAnsi="Trebuchet MS" w:cs="Calibri"/>
                <w:color w:val="000000"/>
                <w:sz w:val="18"/>
                <w:szCs w:val="18"/>
              </w:rPr>
              <w:t>20.5</w:t>
            </w:r>
          </w:p>
        </w:tc>
        <w:tc>
          <w:tcPr>
            <w:tcW w:w="850" w:type="dxa"/>
            <w:tcBorders>
              <w:top w:val="nil"/>
              <w:left w:val="nil"/>
              <w:bottom w:val="single" w:sz="8" w:space="0" w:color="auto"/>
              <w:right w:val="nil"/>
            </w:tcBorders>
            <w:shd w:val="clear" w:color="auto" w:fill="auto"/>
            <w:noWrap/>
            <w:vAlign w:val="bottom"/>
            <w:hideMark/>
          </w:tcPr>
          <w:p w14:paraId="79992028" w14:textId="59C33A82" w:rsidR="00D96CB4" w:rsidRPr="007337C6" w:rsidRDefault="00D96CB4">
            <w:pPr>
              <w:spacing w:after="0" w:line="240" w:lineRule="auto"/>
              <w:jc w:val="right"/>
              <w:rPr>
                <w:rFonts w:ascii="Trebuchet MS" w:eastAsia="Times New Roman" w:hAnsi="Trebuchet MS" w:cs="Calibri"/>
                <w:color w:val="000000"/>
                <w:sz w:val="18"/>
                <w:szCs w:val="18"/>
                <w:lang w:eastAsia="en-GB"/>
              </w:rPr>
            </w:pPr>
            <w:r w:rsidRPr="007337C6">
              <w:rPr>
                <w:rFonts w:ascii="Trebuchet MS" w:hAnsi="Trebuchet MS" w:cs="Calibri"/>
                <w:color w:val="000000"/>
                <w:sz w:val="18"/>
                <w:szCs w:val="18"/>
              </w:rPr>
              <w:t>37.8</w:t>
            </w:r>
          </w:p>
        </w:tc>
        <w:tc>
          <w:tcPr>
            <w:tcW w:w="851" w:type="dxa"/>
            <w:tcBorders>
              <w:top w:val="nil"/>
              <w:left w:val="nil"/>
              <w:bottom w:val="single" w:sz="8" w:space="0" w:color="auto"/>
              <w:right w:val="single" w:sz="8" w:space="0" w:color="auto"/>
            </w:tcBorders>
            <w:shd w:val="clear" w:color="auto" w:fill="auto"/>
            <w:noWrap/>
            <w:vAlign w:val="bottom"/>
            <w:hideMark/>
          </w:tcPr>
          <w:p w14:paraId="02739359" w14:textId="31A87933" w:rsidR="00D96CB4" w:rsidRPr="007337C6" w:rsidRDefault="00D96CB4">
            <w:pPr>
              <w:spacing w:after="0" w:line="240" w:lineRule="auto"/>
              <w:jc w:val="right"/>
              <w:rPr>
                <w:rFonts w:ascii="Trebuchet MS" w:eastAsia="Times New Roman" w:hAnsi="Trebuchet MS" w:cs="Calibri"/>
                <w:color w:val="000000"/>
                <w:sz w:val="18"/>
                <w:szCs w:val="18"/>
                <w:lang w:eastAsia="en-GB"/>
              </w:rPr>
            </w:pPr>
            <w:r w:rsidRPr="007337C6">
              <w:rPr>
                <w:rFonts w:ascii="Trebuchet MS" w:hAnsi="Trebuchet MS" w:cs="Calibri"/>
                <w:color w:val="000000"/>
                <w:sz w:val="18"/>
                <w:szCs w:val="18"/>
              </w:rPr>
              <w:t>12.7</w:t>
            </w:r>
          </w:p>
        </w:tc>
        <w:tc>
          <w:tcPr>
            <w:tcW w:w="850" w:type="dxa"/>
            <w:tcBorders>
              <w:top w:val="nil"/>
              <w:left w:val="nil"/>
              <w:bottom w:val="single" w:sz="8" w:space="0" w:color="auto"/>
              <w:right w:val="nil"/>
            </w:tcBorders>
            <w:shd w:val="clear" w:color="auto" w:fill="auto"/>
            <w:noWrap/>
            <w:vAlign w:val="bottom"/>
            <w:hideMark/>
          </w:tcPr>
          <w:p w14:paraId="26E877B4" w14:textId="273E698D" w:rsidR="00D96CB4" w:rsidRPr="007337C6" w:rsidRDefault="00D96CB4">
            <w:pPr>
              <w:spacing w:after="0" w:line="240" w:lineRule="auto"/>
              <w:jc w:val="right"/>
              <w:rPr>
                <w:rFonts w:ascii="Trebuchet MS" w:eastAsia="Times New Roman" w:hAnsi="Trebuchet MS" w:cs="Calibri"/>
                <w:color w:val="000000"/>
                <w:sz w:val="18"/>
                <w:szCs w:val="18"/>
                <w:lang w:eastAsia="en-GB"/>
              </w:rPr>
            </w:pPr>
            <w:r w:rsidRPr="007337C6">
              <w:rPr>
                <w:rFonts w:ascii="Trebuchet MS" w:hAnsi="Trebuchet MS" w:cs="Calibri"/>
                <w:color w:val="000000"/>
                <w:sz w:val="18"/>
                <w:szCs w:val="18"/>
              </w:rPr>
              <w:t>36.2</w:t>
            </w:r>
          </w:p>
        </w:tc>
        <w:tc>
          <w:tcPr>
            <w:tcW w:w="993" w:type="dxa"/>
            <w:tcBorders>
              <w:top w:val="nil"/>
              <w:left w:val="nil"/>
              <w:bottom w:val="single" w:sz="8" w:space="0" w:color="auto"/>
              <w:right w:val="nil"/>
            </w:tcBorders>
            <w:shd w:val="clear" w:color="auto" w:fill="auto"/>
            <w:noWrap/>
            <w:vAlign w:val="bottom"/>
            <w:hideMark/>
          </w:tcPr>
          <w:p w14:paraId="3F44FAFA" w14:textId="7FE374DB" w:rsidR="00D96CB4" w:rsidRPr="00D96CB4" w:rsidRDefault="00D96CB4">
            <w:pPr>
              <w:spacing w:after="0" w:line="240" w:lineRule="auto"/>
              <w:jc w:val="right"/>
              <w:rPr>
                <w:rFonts w:ascii="Trebuchet MS" w:eastAsia="Times New Roman" w:hAnsi="Trebuchet MS" w:cs="Calibri"/>
                <w:color w:val="000000"/>
                <w:sz w:val="18"/>
                <w:szCs w:val="18"/>
                <w:lang w:eastAsia="en-GB"/>
              </w:rPr>
            </w:pPr>
            <w:r w:rsidRPr="00ED58A9">
              <w:rPr>
                <w:rFonts w:ascii="Trebuchet MS" w:hAnsi="Trebuchet MS" w:cs="Calibri"/>
                <w:color w:val="000000"/>
                <w:sz w:val="18"/>
                <w:szCs w:val="18"/>
              </w:rPr>
              <w:t>2</w:t>
            </w:r>
            <w:r w:rsidR="00E63363">
              <w:rPr>
                <w:rFonts w:ascii="Trebuchet MS" w:hAnsi="Trebuchet MS" w:cs="Calibri"/>
                <w:color w:val="000000"/>
                <w:sz w:val="18"/>
                <w:szCs w:val="18"/>
              </w:rPr>
              <w:t>4.8</w:t>
            </w:r>
          </w:p>
        </w:tc>
        <w:tc>
          <w:tcPr>
            <w:tcW w:w="992" w:type="dxa"/>
            <w:tcBorders>
              <w:top w:val="nil"/>
              <w:left w:val="nil"/>
              <w:bottom w:val="single" w:sz="8" w:space="0" w:color="auto"/>
              <w:right w:val="single" w:sz="8" w:space="0" w:color="auto"/>
            </w:tcBorders>
            <w:shd w:val="clear" w:color="auto" w:fill="auto"/>
            <w:noWrap/>
            <w:vAlign w:val="bottom"/>
            <w:hideMark/>
          </w:tcPr>
          <w:p w14:paraId="545D1758" w14:textId="5406E474" w:rsidR="00D96CB4" w:rsidRPr="00D96CB4" w:rsidRDefault="00D96CB4">
            <w:pPr>
              <w:spacing w:after="0" w:line="240" w:lineRule="auto"/>
              <w:jc w:val="right"/>
              <w:rPr>
                <w:rFonts w:ascii="Trebuchet MS" w:eastAsia="Times New Roman" w:hAnsi="Trebuchet MS" w:cs="Calibri"/>
                <w:color w:val="000000"/>
                <w:sz w:val="18"/>
                <w:szCs w:val="18"/>
                <w:lang w:eastAsia="en-GB"/>
              </w:rPr>
            </w:pPr>
            <w:r w:rsidRPr="00ED58A9">
              <w:rPr>
                <w:rFonts w:ascii="Trebuchet MS" w:hAnsi="Trebuchet MS" w:cs="Calibri"/>
                <w:color w:val="000000"/>
                <w:sz w:val="18"/>
                <w:szCs w:val="18"/>
              </w:rPr>
              <w:t>5.0</w:t>
            </w:r>
          </w:p>
        </w:tc>
      </w:tr>
    </w:tbl>
    <w:p w14:paraId="3F101ED8" w14:textId="77777777" w:rsidR="00B5481E" w:rsidRPr="007337C6" w:rsidRDefault="00B5481E" w:rsidP="007C3DC7">
      <w:pPr>
        <w:pStyle w:val="BodyTextAfterTableGraphic"/>
        <w:tabs>
          <w:tab w:val="clear" w:pos="360"/>
          <w:tab w:val="clear" w:pos="720"/>
        </w:tabs>
        <w:spacing w:before="0" w:after="0" w:line="240" w:lineRule="auto"/>
        <w:rPr>
          <w:rFonts w:ascii="Trebuchet MS" w:hAnsi="Trebuchet MS"/>
          <w:sz w:val="20"/>
          <w:szCs w:val="20"/>
        </w:rPr>
      </w:pPr>
    </w:p>
    <w:p w14:paraId="26D008A5" w14:textId="35751BDC" w:rsidR="00A368A3" w:rsidRPr="007337C6" w:rsidRDefault="00D52F35" w:rsidP="00D52F35">
      <w:pPr>
        <w:pStyle w:val="BodyTextAfterTableGraphic"/>
        <w:tabs>
          <w:tab w:val="clear" w:pos="360"/>
          <w:tab w:val="clear" w:pos="720"/>
        </w:tabs>
        <w:spacing w:before="0" w:after="0" w:line="240" w:lineRule="auto"/>
        <w:rPr>
          <w:rFonts w:ascii="Trebuchet MS" w:hAnsi="Trebuchet MS"/>
          <w:sz w:val="20"/>
          <w:szCs w:val="20"/>
        </w:rPr>
      </w:pPr>
      <w:r w:rsidRPr="007337C6">
        <w:rPr>
          <w:rFonts w:ascii="Trebuchet MS" w:hAnsi="Trebuchet MS"/>
          <w:sz w:val="20"/>
          <w:szCs w:val="20"/>
        </w:rPr>
        <w:t xml:space="preserve">The </w:t>
      </w:r>
      <w:r w:rsidR="00487E08" w:rsidRPr="007337C6">
        <w:rPr>
          <w:rFonts w:ascii="Trebuchet MS" w:hAnsi="Trebuchet MS"/>
          <w:sz w:val="20"/>
          <w:szCs w:val="20"/>
        </w:rPr>
        <w:t xml:space="preserve">updated </w:t>
      </w:r>
      <w:r w:rsidR="00A368A3" w:rsidRPr="007337C6">
        <w:rPr>
          <w:rFonts w:ascii="Trebuchet MS" w:hAnsi="Trebuchet MS"/>
          <w:sz w:val="20"/>
          <w:szCs w:val="20"/>
        </w:rPr>
        <w:t xml:space="preserve">forecasted </w:t>
      </w:r>
      <w:r w:rsidRPr="007337C6">
        <w:rPr>
          <w:rFonts w:ascii="Trebuchet MS" w:hAnsi="Trebuchet MS"/>
          <w:sz w:val="20"/>
          <w:szCs w:val="20"/>
        </w:rPr>
        <w:t xml:space="preserve">financials </w:t>
      </w:r>
      <w:r w:rsidR="00A368A3" w:rsidRPr="007337C6">
        <w:rPr>
          <w:rFonts w:ascii="Trebuchet MS" w:hAnsi="Trebuchet MS"/>
          <w:sz w:val="20"/>
          <w:szCs w:val="20"/>
        </w:rPr>
        <w:t>of</w:t>
      </w:r>
      <w:r w:rsidRPr="007337C6">
        <w:rPr>
          <w:rFonts w:ascii="Trebuchet MS" w:hAnsi="Trebuchet MS"/>
          <w:sz w:val="20"/>
          <w:szCs w:val="20"/>
        </w:rPr>
        <w:t xml:space="preserve"> 3Q20 take into account the </w:t>
      </w:r>
      <w:r w:rsidR="00A368A3" w:rsidRPr="007337C6">
        <w:rPr>
          <w:rFonts w:ascii="Trebuchet MS" w:hAnsi="Trebuchet MS"/>
          <w:sz w:val="20"/>
          <w:szCs w:val="20"/>
        </w:rPr>
        <w:t>revision</w:t>
      </w:r>
      <w:r w:rsidR="00487E08" w:rsidRPr="007337C6">
        <w:rPr>
          <w:rFonts w:ascii="Trebuchet MS" w:hAnsi="Trebuchet MS"/>
          <w:sz w:val="20"/>
          <w:szCs w:val="20"/>
        </w:rPr>
        <w:t xml:space="preserve"> of the </w:t>
      </w:r>
      <w:r w:rsidRPr="007337C6">
        <w:rPr>
          <w:rFonts w:ascii="Trebuchet MS" w:hAnsi="Trebuchet MS"/>
          <w:sz w:val="20"/>
          <w:szCs w:val="20"/>
        </w:rPr>
        <w:t xml:space="preserve">business plan of 2020 and also incorporate our assumptions with regards to the impact of </w:t>
      </w:r>
      <w:r w:rsidR="005E55C1">
        <w:rPr>
          <w:rFonts w:ascii="Trebuchet MS" w:hAnsi="Trebuchet MS"/>
          <w:sz w:val="20"/>
          <w:szCs w:val="20"/>
        </w:rPr>
        <w:t>COVID-19</w:t>
      </w:r>
      <w:r w:rsidRPr="007337C6">
        <w:rPr>
          <w:rFonts w:ascii="Trebuchet MS" w:hAnsi="Trebuchet MS"/>
          <w:sz w:val="20"/>
          <w:szCs w:val="20"/>
        </w:rPr>
        <w:t xml:space="preserve">. In the </w:t>
      </w:r>
      <w:r w:rsidR="00A368A3" w:rsidRPr="007337C6">
        <w:rPr>
          <w:rFonts w:ascii="Trebuchet MS" w:hAnsi="Trebuchet MS"/>
          <w:sz w:val="20"/>
          <w:szCs w:val="20"/>
        </w:rPr>
        <w:t>revised business plan, business volumes planned to be written in year 2020 have been updated and some business that was planned to be written in AGIL and LGI before the Transfer have now been planned to be renewed directly into AEI post transfer.</w:t>
      </w:r>
    </w:p>
    <w:p w14:paraId="7511C6A6" w14:textId="134A24AE" w:rsidR="00D52F35" w:rsidRPr="007337C6" w:rsidRDefault="00D52F35" w:rsidP="00D52F35">
      <w:pPr>
        <w:pStyle w:val="BodyTextAfterTableGraphic"/>
        <w:tabs>
          <w:tab w:val="clear" w:pos="360"/>
          <w:tab w:val="clear" w:pos="720"/>
        </w:tabs>
        <w:spacing w:before="0" w:after="0" w:line="240" w:lineRule="auto"/>
        <w:rPr>
          <w:rFonts w:ascii="Trebuchet MS" w:hAnsi="Trebuchet MS"/>
          <w:sz w:val="20"/>
          <w:szCs w:val="20"/>
        </w:rPr>
      </w:pPr>
      <w:r w:rsidRPr="007337C6">
        <w:rPr>
          <w:rFonts w:ascii="Trebuchet MS" w:hAnsi="Trebuchet MS"/>
          <w:sz w:val="20"/>
          <w:szCs w:val="20"/>
        </w:rPr>
        <w:t>The solvency position of all the companies involved in the Scheme, pre</w:t>
      </w:r>
      <w:r w:rsidR="00A368A3" w:rsidRPr="007337C6">
        <w:rPr>
          <w:rFonts w:ascii="Trebuchet MS" w:hAnsi="Trebuchet MS"/>
          <w:sz w:val="20"/>
          <w:szCs w:val="20"/>
        </w:rPr>
        <w:t>-</w:t>
      </w:r>
      <w:r w:rsidRPr="007337C6">
        <w:rPr>
          <w:rFonts w:ascii="Trebuchet MS" w:hAnsi="Trebuchet MS"/>
          <w:sz w:val="20"/>
          <w:szCs w:val="20"/>
        </w:rPr>
        <w:t xml:space="preserve"> and post-Transfer forecasted at end 3Q20 </w:t>
      </w:r>
      <w:r w:rsidR="00A368A3" w:rsidRPr="007337C6">
        <w:rPr>
          <w:rFonts w:ascii="Trebuchet MS" w:hAnsi="Trebuchet MS"/>
          <w:sz w:val="20"/>
          <w:szCs w:val="20"/>
        </w:rPr>
        <w:t>remains</w:t>
      </w:r>
      <w:r w:rsidRPr="007337C6">
        <w:rPr>
          <w:rFonts w:ascii="Trebuchet MS" w:hAnsi="Trebuchet MS"/>
          <w:sz w:val="20"/>
          <w:szCs w:val="20"/>
        </w:rPr>
        <w:t xml:space="preserve"> very good.</w:t>
      </w:r>
    </w:p>
    <w:p w14:paraId="36936B00" w14:textId="7FEE3778" w:rsidR="00C32630" w:rsidRPr="007337C6" w:rsidRDefault="00C32630" w:rsidP="00BD2569">
      <w:pPr>
        <w:pStyle w:val="BodyTextAfterTableGraphic"/>
        <w:tabs>
          <w:tab w:val="clear" w:pos="360"/>
          <w:tab w:val="clear" w:pos="720"/>
        </w:tabs>
        <w:spacing w:before="0" w:after="0" w:line="240" w:lineRule="auto"/>
        <w:rPr>
          <w:rFonts w:ascii="Trebuchet MS" w:hAnsi="Trebuchet MS"/>
          <w:sz w:val="20"/>
          <w:szCs w:val="20"/>
        </w:rPr>
      </w:pPr>
    </w:p>
    <w:p w14:paraId="2FAA845A" w14:textId="24522274" w:rsidR="005C208E" w:rsidRPr="007337C6" w:rsidRDefault="00E34273" w:rsidP="006A07D6">
      <w:pPr>
        <w:pStyle w:val="Heading1"/>
        <w:numPr>
          <w:ilvl w:val="0"/>
          <w:numId w:val="1"/>
        </w:numPr>
        <w:rPr>
          <w:color w:val="0070C0"/>
        </w:rPr>
      </w:pPr>
      <w:bookmarkStart w:id="93" w:name="_Toc52451887"/>
      <w:r w:rsidRPr="007337C6">
        <w:rPr>
          <w:color w:val="0070C0"/>
        </w:rPr>
        <w:t>T</w:t>
      </w:r>
      <w:r w:rsidR="00992CA4" w:rsidRPr="007337C6">
        <w:rPr>
          <w:color w:val="0070C0"/>
        </w:rPr>
        <w:t>ax impact</w:t>
      </w:r>
      <w:bookmarkEnd w:id="93"/>
      <w:r w:rsidR="005C208E" w:rsidRPr="007337C6">
        <w:rPr>
          <w:color w:val="0070C0"/>
        </w:rPr>
        <w:t xml:space="preserve">   </w:t>
      </w:r>
    </w:p>
    <w:p w14:paraId="4A83A1AF" w14:textId="5725FB71" w:rsidR="00495D13" w:rsidRDefault="00495D13" w:rsidP="00495D13">
      <w:pPr>
        <w:tabs>
          <w:tab w:val="left" w:pos="0"/>
        </w:tabs>
        <w:rPr>
          <w:rFonts w:ascii="Trebuchet MS" w:hAnsi="Trebuchet MS"/>
          <w:sz w:val="20"/>
          <w:szCs w:val="20"/>
        </w:rPr>
      </w:pPr>
    </w:p>
    <w:p w14:paraId="41B12B90" w14:textId="7D60DCF1" w:rsidR="00A86F02" w:rsidRPr="007337C6" w:rsidRDefault="00A86F02" w:rsidP="00495D13">
      <w:pPr>
        <w:tabs>
          <w:tab w:val="left" w:pos="0"/>
        </w:tabs>
        <w:rPr>
          <w:rFonts w:ascii="Trebuchet MS" w:hAnsi="Trebuchet MS"/>
          <w:sz w:val="20"/>
          <w:szCs w:val="20"/>
        </w:rPr>
      </w:pPr>
      <w:r>
        <w:rPr>
          <w:rFonts w:ascii="Trebuchet MS" w:hAnsi="Trebuchet MS"/>
          <w:sz w:val="20"/>
          <w:szCs w:val="20"/>
        </w:rPr>
        <w:t>As the Transfer is now assessed from a fair value at arm’s length approach, this impacts the</w:t>
      </w:r>
      <w:r w:rsidR="009D4B91">
        <w:rPr>
          <w:rFonts w:ascii="Trebuchet MS" w:hAnsi="Trebuchet MS"/>
          <w:sz w:val="20"/>
          <w:szCs w:val="20"/>
        </w:rPr>
        <w:t xml:space="preserve"> corporation</w:t>
      </w:r>
      <w:r>
        <w:rPr>
          <w:rFonts w:ascii="Trebuchet MS" w:hAnsi="Trebuchet MS"/>
          <w:sz w:val="20"/>
          <w:szCs w:val="20"/>
        </w:rPr>
        <w:t xml:space="preserve"> tax position</w:t>
      </w:r>
      <w:r w:rsidR="009D4B91">
        <w:rPr>
          <w:rFonts w:ascii="Trebuchet MS" w:hAnsi="Trebuchet MS"/>
          <w:sz w:val="20"/>
          <w:szCs w:val="20"/>
        </w:rPr>
        <w:t xml:space="preserve"> </w:t>
      </w:r>
      <w:r>
        <w:rPr>
          <w:rFonts w:ascii="Trebuchet MS" w:hAnsi="Trebuchet MS"/>
          <w:sz w:val="20"/>
          <w:szCs w:val="20"/>
        </w:rPr>
        <w:t>as explained below</w:t>
      </w:r>
      <w:r w:rsidR="009977AC">
        <w:rPr>
          <w:rFonts w:ascii="Trebuchet MS" w:hAnsi="Trebuchet MS"/>
          <w:sz w:val="20"/>
          <w:szCs w:val="20"/>
        </w:rPr>
        <w:t>, which is a change from the tax position in the initial report</w:t>
      </w:r>
      <w:r>
        <w:rPr>
          <w:rFonts w:ascii="Trebuchet MS" w:hAnsi="Trebuchet MS"/>
          <w:sz w:val="20"/>
          <w:szCs w:val="20"/>
        </w:rPr>
        <w:t>.</w:t>
      </w:r>
    </w:p>
    <w:p w14:paraId="4DAB87EF" w14:textId="4E1303BF" w:rsidR="00495D13" w:rsidRPr="007337C6" w:rsidRDefault="00495D13" w:rsidP="00495D13">
      <w:pPr>
        <w:tabs>
          <w:tab w:val="left" w:pos="0"/>
        </w:tabs>
        <w:rPr>
          <w:rFonts w:ascii="Trebuchet MS" w:hAnsi="Trebuchet MS"/>
          <w:b/>
          <w:bCs/>
          <w:sz w:val="20"/>
          <w:szCs w:val="20"/>
          <w:u w:val="single"/>
        </w:rPr>
      </w:pPr>
      <w:r w:rsidRPr="007337C6">
        <w:rPr>
          <w:rFonts w:ascii="Trebuchet MS" w:hAnsi="Trebuchet MS"/>
          <w:b/>
          <w:bCs/>
          <w:sz w:val="20"/>
          <w:szCs w:val="20"/>
          <w:u w:val="single"/>
        </w:rPr>
        <w:t>Policyholder tax</w:t>
      </w:r>
    </w:p>
    <w:p w14:paraId="488AB1B1" w14:textId="77777777" w:rsidR="00495D13" w:rsidRPr="007337C6" w:rsidRDefault="00495D13" w:rsidP="00495D13">
      <w:pPr>
        <w:tabs>
          <w:tab w:val="left" w:pos="0"/>
        </w:tabs>
        <w:rPr>
          <w:rFonts w:ascii="Trebuchet MS" w:hAnsi="Trebuchet MS"/>
          <w:sz w:val="20"/>
          <w:szCs w:val="20"/>
        </w:rPr>
      </w:pPr>
      <w:r w:rsidRPr="007337C6">
        <w:rPr>
          <w:rFonts w:ascii="Trebuchet MS" w:hAnsi="Trebuchet MS"/>
          <w:sz w:val="20"/>
          <w:szCs w:val="20"/>
        </w:rPr>
        <w:t xml:space="preserve">There should be no changes to policyholder taxation. </w:t>
      </w:r>
      <w:proofErr w:type="spellStart"/>
      <w:r w:rsidRPr="007337C6">
        <w:rPr>
          <w:rFonts w:ascii="Trebuchet MS" w:hAnsi="Trebuchet MS"/>
          <w:sz w:val="20"/>
          <w:szCs w:val="20"/>
        </w:rPr>
        <w:t>IPT</w:t>
      </w:r>
      <w:proofErr w:type="spellEnd"/>
      <w:r w:rsidRPr="007337C6">
        <w:rPr>
          <w:rFonts w:ascii="Trebuchet MS" w:hAnsi="Trebuchet MS"/>
          <w:sz w:val="20"/>
          <w:szCs w:val="20"/>
        </w:rPr>
        <w:t xml:space="preserve"> is due and payable based on where the risk is located.  For the type of risks insured by AGIL and LGI, this is deemed to be the country of residence of the policyholder. It therefore makes no difference whether the insurance company is in the UK or in the Netherlands and whether written via a branch or FOS.  For example, if the policyholder is Spanish, Spanish </w:t>
      </w:r>
      <w:proofErr w:type="spellStart"/>
      <w:r w:rsidRPr="007337C6">
        <w:rPr>
          <w:rFonts w:ascii="Trebuchet MS" w:hAnsi="Trebuchet MS"/>
          <w:sz w:val="20"/>
          <w:szCs w:val="20"/>
        </w:rPr>
        <w:t>IPT</w:t>
      </w:r>
      <w:proofErr w:type="spellEnd"/>
      <w:r w:rsidRPr="007337C6">
        <w:rPr>
          <w:rFonts w:ascii="Trebuchet MS" w:hAnsi="Trebuchet MS"/>
          <w:sz w:val="20"/>
          <w:szCs w:val="20"/>
        </w:rPr>
        <w:t xml:space="preserve"> is payable now by AGIL/LGI and will be payable in the future by AEI.  </w:t>
      </w:r>
    </w:p>
    <w:p w14:paraId="07F57089" w14:textId="21CB883C" w:rsidR="00495D13" w:rsidRPr="007337C6" w:rsidRDefault="00495D13" w:rsidP="00495D13">
      <w:pPr>
        <w:tabs>
          <w:tab w:val="left" w:pos="0"/>
        </w:tabs>
        <w:rPr>
          <w:rFonts w:ascii="Trebuchet MS" w:hAnsi="Trebuchet MS"/>
          <w:b/>
          <w:bCs/>
          <w:sz w:val="20"/>
          <w:szCs w:val="20"/>
          <w:u w:val="single"/>
        </w:rPr>
      </w:pPr>
      <w:r w:rsidRPr="007337C6">
        <w:rPr>
          <w:rFonts w:ascii="Trebuchet MS" w:hAnsi="Trebuchet MS"/>
          <w:b/>
          <w:bCs/>
          <w:sz w:val="20"/>
          <w:szCs w:val="20"/>
          <w:u w:val="single"/>
        </w:rPr>
        <w:t>Corporation tax</w:t>
      </w:r>
    </w:p>
    <w:p w14:paraId="1C381B4F" w14:textId="4218117B" w:rsidR="002C778E" w:rsidRPr="007337C6" w:rsidRDefault="002C778E" w:rsidP="00CF2605">
      <w:pPr>
        <w:tabs>
          <w:tab w:val="left" w:pos="0"/>
        </w:tabs>
        <w:rPr>
          <w:rFonts w:ascii="Trebuchet MS" w:hAnsi="Trebuchet MS"/>
          <w:sz w:val="20"/>
          <w:szCs w:val="20"/>
        </w:rPr>
      </w:pPr>
      <w:r w:rsidRPr="007337C6">
        <w:rPr>
          <w:rFonts w:ascii="Trebuchet MS" w:hAnsi="Trebuchet MS"/>
          <w:sz w:val="20"/>
          <w:szCs w:val="20"/>
        </w:rPr>
        <w:t xml:space="preserve">The transfer of business from AGIL to AEI will be treated as a disposal for tax purposes. Based on the latest fair-value valuation of the AGIL EEA business at arm’s length, the corporate income tax liability that will arise in AGIL is </w:t>
      </w:r>
      <w:r w:rsidRPr="007337C6">
        <w:rPr>
          <w:rFonts w:ascii="Trebuchet MS" w:hAnsi="Trebuchet MS"/>
          <w:sz w:val="20"/>
          <w:szCs w:val="20"/>
        </w:rPr>
        <w:lastRenderedPageBreak/>
        <w:t>estimated to be circa £1m.  For Dutch tax purposes, a corresponding deferred tax asset of circa £1m will arise in AEI. Confirmation has been received from the Dutch tax authorities that the transfer should be treated as a Transfer of a Going Concern for Dutch VAT purposes, such that the consideration paid will be outside the scope of VAT.</w:t>
      </w:r>
    </w:p>
    <w:p w14:paraId="390B2B3A" w14:textId="3F61E6D8" w:rsidR="00D344B6" w:rsidRPr="007337C6" w:rsidRDefault="002C778E" w:rsidP="00495D13">
      <w:pPr>
        <w:tabs>
          <w:tab w:val="left" w:pos="0"/>
        </w:tabs>
        <w:rPr>
          <w:rFonts w:ascii="Trebuchet MS" w:hAnsi="Trebuchet MS"/>
          <w:sz w:val="20"/>
          <w:szCs w:val="20"/>
        </w:rPr>
      </w:pPr>
      <w:r w:rsidRPr="007337C6">
        <w:rPr>
          <w:rFonts w:ascii="Trebuchet MS" w:hAnsi="Trebuchet MS"/>
          <w:sz w:val="20"/>
          <w:szCs w:val="20"/>
        </w:rPr>
        <w:t>The transfer of business from LGI to AEI will be treated as a tax facilitated merger. As such no material corporate income tax liabilities are expected to arise in LGI, as there should be no gain or loss for fiscal purposes for LGI or AEI. In addition, there should be no taxable gain arising for UK corporate income tax purposes, as LGI filed a branch exemption election effective 1 January 2019.  </w:t>
      </w:r>
    </w:p>
    <w:p w14:paraId="44F74ECA" w14:textId="39BD7041" w:rsidR="001C4C53" w:rsidRPr="007337C6" w:rsidRDefault="003E2679" w:rsidP="006A07D6">
      <w:pPr>
        <w:pStyle w:val="Heading1"/>
        <w:numPr>
          <w:ilvl w:val="0"/>
          <w:numId w:val="1"/>
        </w:numPr>
        <w:rPr>
          <w:color w:val="0070C0"/>
        </w:rPr>
      </w:pPr>
      <w:bookmarkStart w:id="94" w:name="_Toc52451888"/>
      <w:r w:rsidRPr="007337C6">
        <w:rPr>
          <w:color w:val="0070C0"/>
        </w:rPr>
        <w:t xml:space="preserve">Effect </w:t>
      </w:r>
      <w:r w:rsidR="008770F6" w:rsidRPr="007337C6">
        <w:rPr>
          <w:color w:val="0070C0"/>
        </w:rPr>
        <w:t>o</w:t>
      </w:r>
      <w:r w:rsidRPr="007337C6">
        <w:rPr>
          <w:color w:val="0070C0"/>
        </w:rPr>
        <w:t xml:space="preserve">f </w:t>
      </w:r>
      <w:r w:rsidR="008770F6" w:rsidRPr="007337C6">
        <w:rPr>
          <w:color w:val="0070C0"/>
        </w:rPr>
        <w:t>t</w:t>
      </w:r>
      <w:r w:rsidRPr="007337C6">
        <w:rPr>
          <w:color w:val="0070C0"/>
        </w:rPr>
        <w:t xml:space="preserve">he Scheme </w:t>
      </w:r>
      <w:r w:rsidR="008770F6" w:rsidRPr="007337C6">
        <w:rPr>
          <w:color w:val="0070C0"/>
        </w:rPr>
        <w:t>o</w:t>
      </w:r>
      <w:r w:rsidRPr="007337C6">
        <w:rPr>
          <w:color w:val="0070C0"/>
        </w:rPr>
        <w:t xml:space="preserve">n Policyholders </w:t>
      </w:r>
      <w:r w:rsidR="008770F6" w:rsidRPr="007337C6">
        <w:rPr>
          <w:color w:val="0070C0"/>
        </w:rPr>
        <w:t>a</w:t>
      </w:r>
      <w:r w:rsidRPr="007337C6">
        <w:rPr>
          <w:color w:val="0070C0"/>
        </w:rPr>
        <w:t>nd Risk Profile</w:t>
      </w:r>
      <w:bookmarkEnd w:id="94"/>
      <w:r w:rsidRPr="007337C6">
        <w:rPr>
          <w:color w:val="0070C0"/>
        </w:rPr>
        <w:t xml:space="preserve"> </w:t>
      </w:r>
    </w:p>
    <w:p w14:paraId="71A6D207" w14:textId="77777777" w:rsidR="002630B2" w:rsidRPr="007337C6" w:rsidRDefault="002630B2" w:rsidP="002630B2">
      <w:pPr>
        <w:autoSpaceDE w:val="0"/>
        <w:autoSpaceDN w:val="0"/>
        <w:adjustRightInd w:val="0"/>
        <w:spacing w:after="0" w:line="240" w:lineRule="auto"/>
        <w:rPr>
          <w:rFonts w:ascii="Trebuchet MS" w:hAnsi="Trebuchet MS" w:cs="Arial"/>
        </w:rPr>
      </w:pPr>
    </w:p>
    <w:p w14:paraId="45F75703" w14:textId="2E6C6849" w:rsidR="005A5FFA" w:rsidRPr="007337C6" w:rsidRDefault="00A6357C" w:rsidP="006A07D6">
      <w:pPr>
        <w:pStyle w:val="Heading1"/>
        <w:numPr>
          <w:ilvl w:val="1"/>
          <w:numId w:val="1"/>
        </w:numPr>
        <w:rPr>
          <w:color w:val="0070C0"/>
        </w:rPr>
      </w:pPr>
      <w:bookmarkStart w:id="95" w:name="_Toc52451889"/>
      <w:r w:rsidRPr="007337C6">
        <w:rPr>
          <w:color w:val="0070C0"/>
        </w:rPr>
        <w:t>F</w:t>
      </w:r>
      <w:r w:rsidR="00992CA4" w:rsidRPr="007337C6">
        <w:rPr>
          <w:color w:val="0070C0"/>
        </w:rPr>
        <w:t>inancial</w:t>
      </w:r>
      <w:r w:rsidRPr="007337C6">
        <w:rPr>
          <w:color w:val="0070C0"/>
        </w:rPr>
        <w:t xml:space="preserve"> </w:t>
      </w:r>
      <w:r w:rsidR="00992CA4" w:rsidRPr="007337C6">
        <w:rPr>
          <w:color w:val="0070C0"/>
        </w:rPr>
        <w:t>security and risk profile of policyholders</w:t>
      </w:r>
      <w:bookmarkEnd w:id="95"/>
    </w:p>
    <w:p w14:paraId="1386F000" w14:textId="69812F82" w:rsidR="00923741" w:rsidRPr="007337C6" w:rsidRDefault="004F0D35">
      <w:pPr>
        <w:rPr>
          <w:rFonts w:ascii="Trebuchet MS" w:eastAsiaTheme="majorEastAsia" w:hAnsi="Trebuchet MS" w:cstheme="majorBidi"/>
          <w:b/>
          <w:color w:val="00B050"/>
          <w:sz w:val="20"/>
          <w:szCs w:val="20"/>
        </w:rPr>
      </w:pPr>
      <w:r>
        <w:rPr>
          <w:rFonts w:ascii="Trebuchet MS" w:hAnsi="Trebuchet MS"/>
          <w:sz w:val="20"/>
          <w:szCs w:val="20"/>
        </w:rPr>
        <w:t>There is no material change from the initial report as the solvency position of the legal entities remains strong after the transfer as discussed in section 2.</w:t>
      </w:r>
    </w:p>
    <w:p w14:paraId="118ABA17" w14:textId="63E8477E" w:rsidR="00384963" w:rsidRPr="007337C6" w:rsidRDefault="00384963" w:rsidP="006A07D6">
      <w:pPr>
        <w:pStyle w:val="Heading1"/>
        <w:numPr>
          <w:ilvl w:val="1"/>
          <w:numId w:val="1"/>
        </w:numPr>
        <w:rPr>
          <w:color w:val="0070C0"/>
        </w:rPr>
      </w:pPr>
      <w:bookmarkStart w:id="96" w:name="_Toc52451890"/>
      <w:r w:rsidRPr="007337C6">
        <w:rPr>
          <w:color w:val="0070C0"/>
        </w:rPr>
        <w:t>P</w:t>
      </w:r>
      <w:r w:rsidR="00992CA4" w:rsidRPr="007337C6">
        <w:rPr>
          <w:color w:val="0070C0"/>
        </w:rPr>
        <w:t>olicy terms and conditions</w:t>
      </w:r>
      <w:bookmarkEnd w:id="96"/>
      <w:r w:rsidRPr="007337C6">
        <w:rPr>
          <w:color w:val="0070C0"/>
        </w:rPr>
        <w:t xml:space="preserve"> </w:t>
      </w:r>
    </w:p>
    <w:p w14:paraId="3FE65314" w14:textId="2A45DE56" w:rsidR="003E2679" w:rsidRPr="007337C6" w:rsidRDefault="004F0D35" w:rsidP="006514AA">
      <w:pPr>
        <w:rPr>
          <w:rFonts w:ascii="Trebuchet MS" w:eastAsiaTheme="majorEastAsia" w:hAnsi="Trebuchet MS" w:cstheme="majorBidi"/>
          <w:b/>
          <w:color w:val="00B050"/>
          <w:sz w:val="20"/>
          <w:szCs w:val="20"/>
        </w:rPr>
      </w:pPr>
      <w:r>
        <w:rPr>
          <w:rFonts w:ascii="Trebuchet MS" w:hAnsi="Trebuchet MS"/>
          <w:sz w:val="20"/>
          <w:szCs w:val="20"/>
        </w:rPr>
        <w:t xml:space="preserve">There is no material change in policy terms and conditions since the initial report.  In particular, the </w:t>
      </w:r>
      <w:r w:rsidR="005E55C1">
        <w:rPr>
          <w:rFonts w:ascii="Trebuchet MS" w:hAnsi="Trebuchet MS"/>
          <w:sz w:val="20"/>
          <w:szCs w:val="20"/>
        </w:rPr>
        <w:t>COVID-19</w:t>
      </w:r>
      <w:r>
        <w:rPr>
          <w:rFonts w:ascii="Trebuchet MS" w:hAnsi="Trebuchet MS"/>
          <w:sz w:val="20"/>
          <w:szCs w:val="20"/>
        </w:rPr>
        <w:t xml:space="preserve"> pandemic has not led to material changes in policy T&amp;Cs which would affect the transfer.</w:t>
      </w:r>
    </w:p>
    <w:p w14:paraId="18B4452F" w14:textId="77777777" w:rsidR="00CD598E" w:rsidRPr="007337C6" w:rsidRDefault="00CD598E" w:rsidP="006514AA">
      <w:pPr>
        <w:rPr>
          <w:rFonts w:ascii="Trebuchet MS" w:hAnsi="Trebuchet MS"/>
          <w:i/>
          <w:iCs/>
          <w:sz w:val="20"/>
          <w:szCs w:val="20"/>
        </w:rPr>
      </w:pPr>
    </w:p>
    <w:p w14:paraId="1F7E588B" w14:textId="7227B387" w:rsidR="00234296" w:rsidRPr="007337C6" w:rsidRDefault="00234296" w:rsidP="006A07D6">
      <w:pPr>
        <w:pStyle w:val="Heading1"/>
        <w:numPr>
          <w:ilvl w:val="1"/>
          <w:numId w:val="1"/>
        </w:numPr>
        <w:rPr>
          <w:color w:val="0070C0"/>
        </w:rPr>
      </w:pPr>
      <w:bookmarkStart w:id="97" w:name="_Toc52451891"/>
      <w:r w:rsidRPr="007337C6">
        <w:rPr>
          <w:color w:val="0070C0"/>
        </w:rPr>
        <w:t>P</w:t>
      </w:r>
      <w:r w:rsidR="00992CA4" w:rsidRPr="007337C6">
        <w:rPr>
          <w:color w:val="0070C0"/>
        </w:rPr>
        <w:t>olicy and claims administration</w:t>
      </w:r>
      <w:bookmarkEnd w:id="97"/>
      <w:r w:rsidRPr="007337C6">
        <w:rPr>
          <w:color w:val="0070C0"/>
        </w:rPr>
        <w:t xml:space="preserve"> </w:t>
      </w:r>
    </w:p>
    <w:p w14:paraId="30E664B0" w14:textId="5B493FD9" w:rsidR="002304B7" w:rsidRPr="007337C6" w:rsidRDefault="004F0D35">
      <w:pPr>
        <w:rPr>
          <w:rFonts w:ascii="Trebuchet MS" w:eastAsiaTheme="majorEastAsia" w:hAnsi="Trebuchet MS" w:cstheme="majorBidi"/>
          <w:b/>
          <w:color w:val="00B050"/>
          <w:sz w:val="20"/>
          <w:szCs w:val="20"/>
        </w:rPr>
      </w:pPr>
      <w:bookmarkStart w:id="98" w:name="_Hlk39146879"/>
      <w:r>
        <w:rPr>
          <w:rFonts w:ascii="Trebuchet MS" w:hAnsi="Trebuchet MS"/>
          <w:sz w:val="20"/>
          <w:szCs w:val="20"/>
        </w:rPr>
        <w:t xml:space="preserve">There is no material change in policy terms and conditions since the initial report.  In particular, the </w:t>
      </w:r>
      <w:r w:rsidR="005E55C1">
        <w:rPr>
          <w:rFonts w:ascii="Trebuchet MS" w:hAnsi="Trebuchet MS"/>
          <w:sz w:val="20"/>
          <w:szCs w:val="20"/>
        </w:rPr>
        <w:t>COVID-19</w:t>
      </w:r>
      <w:r>
        <w:rPr>
          <w:rFonts w:ascii="Trebuchet MS" w:hAnsi="Trebuchet MS"/>
          <w:sz w:val="20"/>
          <w:szCs w:val="20"/>
        </w:rPr>
        <w:t xml:space="preserve"> pandemic has not led to material changes in policy and claims administration which would affect the transfer. All the legal entities have successfully placed policy and claim handlers in a work from home environment with a phased return to office planned over the next few months.  </w:t>
      </w:r>
      <w:r w:rsidR="00CB74D1">
        <w:rPr>
          <w:rFonts w:ascii="Trebuchet MS" w:hAnsi="Trebuchet MS"/>
          <w:sz w:val="20"/>
          <w:szCs w:val="20"/>
        </w:rPr>
        <w:t>The transfer is not expected to lead to change in policy and claims processing.</w:t>
      </w:r>
    </w:p>
    <w:p w14:paraId="17EF5018" w14:textId="632E26F4" w:rsidR="00A610A9" w:rsidRPr="007337C6" w:rsidRDefault="00A610A9" w:rsidP="006A07D6">
      <w:pPr>
        <w:pStyle w:val="Heading1"/>
        <w:numPr>
          <w:ilvl w:val="1"/>
          <w:numId w:val="1"/>
        </w:numPr>
        <w:rPr>
          <w:color w:val="0070C0"/>
        </w:rPr>
      </w:pPr>
      <w:bookmarkStart w:id="99" w:name="_Toc34406670"/>
      <w:bookmarkStart w:id="100" w:name="_Toc34406671"/>
      <w:bookmarkStart w:id="101" w:name="_Toc34406672"/>
      <w:bookmarkStart w:id="102" w:name="_Toc34406673"/>
      <w:bookmarkStart w:id="103" w:name="_Toc52451892"/>
      <w:bookmarkEnd w:id="98"/>
      <w:bookmarkEnd w:id="99"/>
      <w:bookmarkEnd w:id="100"/>
      <w:bookmarkEnd w:id="101"/>
      <w:bookmarkEnd w:id="102"/>
      <w:r w:rsidRPr="007337C6">
        <w:rPr>
          <w:color w:val="0070C0"/>
        </w:rPr>
        <w:t>C</w:t>
      </w:r>
      <w:r w:rsidR="00992CA4" w:rsidRPr="007337C6">
        <w:rPr>
          <w:color w:val="0070C0"/>
        </w:rPr>
        <w:t xml:space="preserve">ommunication </w:t>
      </w:r>
      <w:r w:rsidR="004A0809" w:rsidRPr="007337C6">
        <w:rPr>
          <w:color w:val="0070C0"/>
        </w:rPr>
        <w:t>strategy</w:t>
      </w:r>
      <w:bookmarkEnd w:id="103"/>
      <w:r w:rsidR="00992CA4" w:rsidRPr="007337C6">
        <w:rPr>
          <w:color w:val="0070C0"/>
        </w:rPr>
        <w:t xml:space="preserve"> </w:t>
      </w:r>
      <w:r w:rsidRPr="007337C6">
        <w:rPr>
          <w:color w:val="0070C0"/>
        </w:rPr>
        <w:t xml:space="preserve"> </w:t>
      </w:r>
    </w:p>
    <w:p w14:paraId="3B96CFB9" w14:textId="24E84897" w:rsidR="005E5E1F" w:rsidRPr="007337C6" w:rsidRDefault="005E5E1F" w:rsidP="005E5E1F">
      <w:pPr>
        <w:rPr>
          <w:rFonts w:ascii="Trebuchet MS" w:hAnsi="Trebuchet MS"/>
          <w:sz w:val="20"/>
          <w:szCs w:val="20"/>
        </w:rPr>
      </w:pPr>
      <w:bookmarkStart w:id="104" w:name="_Hlk39149931"/>
      <w:r w:rsidRPr="007337C6">
        <w:rPr>
          <w:rFonts w:ascii="Trebuchet MS" w:hAnsi="Trebuchet MS"/>
          <w:sz w:val="20"/>
          <w:szCs w:val="20"/>
        </w:rPr>
        <w:t xml:space="preserve">All the relevant policyholders have been informed and so far, there are </w:t>
      </w:r>
      <w:r w:rsidR="00FA3C60">
        <w:rPr>
          <w:rFonts w:ascii="Trebuchet MS" w:hAnsi="Trebuchet MS"/>
          <w:sz w:val="20"/>
          <w:szCs w:val="20"/>
        </w:rPr>
        <w:t xml:space="preserve">five </w:t>
      </w:r>
      <w:r w:rsidR="00D47BAF">
        <w:rPr>
          <w:rFonts w:ascii="Trebuchet MS" w:hAnsi="Trebuchet MS"/>
          <w:sz w:val="20"/>
          <w:szCs w:val="20"/>
        </w:rPr>
        <w:t xml:space="preserve">LGI </w:t>
      </w:r>
      <w:r w:rsidRPr="007337C6">
        <w:rPr>
          <w:rFonts w:ascii="Trebuchet MS" w:hAnsi="Trebuchet MS"/>
          <w:sz w:val="20"/>
          <w:szCs w:val="20"/>
        </w:rPr>
        <w:t>policyholders in France that decided to cancel their policies instead of consenting to the transfer</w:t>
      </w:r>
      <w:r w:rsidR="005219F4">
        <w:rPr>
          <w:rFonts w:ascii="Trebuchet MS" w:hAnsi="Trebuchet MS"/>
          <w:sz w:val="20"/>
          <w:szCs w:val="20"/>
        </w:rPr>
        <w:t xml:space="preserve"> (and these cancellations have occurred)</w:t>
      </w:r>
      <w:r w:rsidRPr="007337C6">
        <w:rPr>
          <w:rFonts w:ascii="Trebuchet MS" w:hAnsi="Trebuchet MS"/>
          <w:sz w:val="20"/>
          <w:szCs w:val="20"/>
        </w:rPr>
        <w:t>. This is viewed as an objection to the scheme</w:t>
      </w:r>
      <w:r w:rsidR="00B52F40" w:rsidRPr="007337C6">
        <w:rPr>
          <w:rFonts w:ascii="Trebuchet MS" w:hAnsi="Trebuchet MS"/>
          <w:sz w:val="20"/>
          <w:szCs w:val="20"/>
        </w:rPr>
        <w:t xml:space="preserve"> for these policyholders</w:t>
      </w:r>
      <w:r w:rsidR="00C527D2">
        <w:rPr>
          <w:rFonts w:ascii="Trebuchet MS" w:hAnsi="Trebuchet MS"/>
          <w:sz w:val="20"/>
          <w:szCs w:val="20"/>
        </w:rPr>
        <w:t xml:space="preserve">. There is another </w:t>
      </w:r>
      <w:r w:rsidR="00D47BAF">
        <w:rPr>
          <w:rFonts w:ascii="Trebuchet MS" w:hAnsi="Trebuchet MS"/>
          <w:sz w:val="20"/>
          <w:szCs w:val="20"/>
        </w:rPr>
        <w:t xml:space="preserve">LGI </w:t>
      </w:r>
      <w:r w:rsidR="00C527D2">
        <w:rPr>
          <w:rFonts w:ascii="Trebuchet MS" w:hAnsi="Trebuchet MS"/>
          <w:sz w:val="20"/>
          <w:szCs w:val="20"/>
        </w:rPr>
        <w:t>policyh</w:t>
      </w:r>
      <w:r w:rsidR="00D47BAF">
        <w:rPr>
          <w:rFonts w:ascii="Trebuchet MS" w:hAnsi="Trebuchet MS"/>
          <w:sz w:val="20"/>
          <w:szCs w:val="20"/>
        </w:rPr>
        <w:t xml:space="preserve">older </w:t>
      </w:r>
      <w:r w:rsidR="00C224CC">
        <w:rPr>
          <w:rFonts w:ascii="Trebuchet MS" w:hAnsi="Trebuchet MS"/>
          <w:sz w:val="20"/>
          <w:szCs w:val="20"/>
        </w:rPr>
        <w:t xml:space="preserve">in France </w:t>
      </w:r>
      <w:r w:rsidR="00D47BAF">
        <w:rPr>
          <w:rFonts w:ascii="Trebuchet MS" w:hAnsi="Trebuchet MS"/>
          <w:sz w:val="20"/>
          <w:szCs w:val="20"/>
        </w:rPr>
        <w:t xml:space="preserve">that filed an objection without cancelling his/her policy. In total so far, there are </w:t>
      </w:r>
      <w:r w:rsidR="00876ED0">
        <w:rPr>
          <w:rFonts w:ascii="Trebuchet MS" w:hAnsi="Trebuchet MS"/>
          <w:sz w:val="20"/>
          <w:szCs w:val="20"/>
        </w:rPr>
        <w:t xml:space="preserve">six </w:t>
      </w:r>
      <w:r w:rsidR="00D47BAF">
        <w:rPr>
          <w:rFonts w:ascii="Trebuchet MS" w:hAnsi="Trebuchet MS"/>
          <w:sz w:val="20"/>
          <w:szCs w:val="20"/>
        </w:rPr>
        <w:t>objections o</w:t>
      </w:r>
      <w:r w:rsidR="00B52F40" w:rsidRPr="007337C6">
        <w:rPr>
          <w:rFonts w:ascii="Trebuchet MS" w:hAnsi="Trebuchet MS"/>
          <w:sz w:val="20"/>
          <w:szCs w:val="20"/>
        </w:rPr>
        <w:t>ut of the thousands of policyholders affected by the Scheme and in our opinion, this is a good position in favour of the Scheme.</w:t>
      </w:r>
      <w:r w:rsidRPr="007337C6">
        <w:rPr>
          <w:rFonts w:ascii="Trebuchet MS" w:hAnsi="Trebuchet MS"/>
          <w:sz w:val="20"/>
          <w:szCs w:val="20"/>
        </w:rPr>
        <w:t xml:space="preserve">  </w:t>
      </w:r>
    </w:p>
    <w:p w14:paraId="21E45BAD" w14:textId="5BD4B0D7" w:rsidR="006B3963" w:rsidRPr="007337C6" w:rsidRDefault="0056048D" w:rsidP="006B3963">
      <w:pPr>
        <w:pStyle w:val="Heading1"/>
        <w:numPr>
          <w:ilvl w:val="1"/>
          <w:numId w:val="1"/>
        </w:numPr>
        <w:rPr>
          <w:color w:val="0070C0"/>
        </w:rPr>
      </w:pPr>
      <w:bookmarkStart w:id="105" w:name="_Toc52451893"/>
      <w:bookmarkEnd w:id="104"/>
      <w:r w:rsidRPr="007337C6">
        <w:rPr>
          <w:color w:val="0070C0"/>
        </w:rPr>
        <w:t>B</w:t>
      </w:r>
      <w:r w:rsidR="00992CA4" w:rsidRPr="007337C6">
        <w:rPr>
          <w:color w:val="0070C0"/>
        </w:rPr>
        <w:t>enefits expectation</w:t>
      </w:r>
      <w:bookmarkEnd w:id="105"/>
      <w:r w:rsidR="00992CA4" w:rsidRPr="007337C6">
        <w:rPr>
          <w:color w:val="0070C0"/>
        </w:rPr>
        <w:t xml:space="preserve"> </w:t>
      </w:r>
      <w:r w:rsidRPr="007337C6">
        <w:rPr>
          <w:color w:val="0070C0"/>
        </w:rPr>
        <w:t xml:space="preserve"> </w:t>
      </w:r>
    </w:p>
    <w:p w14:paraId="0C7E4FB6" w14:textId="3427BC59" w:rsidR="006B3963" w:rsidRPr="007337C6" w:rsidRDefault="006B3963" w:rsidP="006B3963">
      <w:pPr>
        <w:rPr>
          <w:rFonts w:ascii="Trebuchet MS" w:hAnsi="Trebuchet MS"/>
          <w:lang w:val="en-US"/>
        </w:rPr>
      </w:pPr>
    </w:p>
    <w:p w14:paraId="4DD9A3D3" w14:textId="48404E17" w:rsidR="006B3963" w:rsidRPr="007337C6" w:rsidRDefault="00CB74D1" w:rsidP="006A07D6">
      <w:pPr>
        <w:rPr>
          <w:rFonts w:ascii="Trebuchet MS" w:eastAsiaTheme="majorEastAsia" w:hAnsi="Trebuchet MS" w:cstheme="majorBidi"/>
          <w:b/>
          <w:color w:val="00B050"/>
          <w:sz w:val="20"/>
          <w:szCs w:val="20"/>
        </w:rPr>
      </w:pPr>
      <w:bookmarkStart w:id="106" w:name="_Hlk39152076"/>
      <w:bookmarkStart w:id="107" w:name="_Hlk36021260"/>
      <w:r>
        <w:rPr>
          <w:rFonts w:ascii="Trebuchet MS" w:hAnsi="Trebuchet MS"/>
          <w:sz w:val="20"/>
          <w:szCs w:val="20"/>
        </w:rPr>
        <w:t xml:space="preserve">There is no </w:t>
      </w:r>
      <w:r w:rsidR="00B25462" w:rsidRPr="007337C6">
        <w:rPr>
          <w:rFonts w:ascii="Trebuchet MS" w:hAnsi="Trebuchet MS"/>
          <w:sz w:val="20"/>
          <w:szCs w:val="20"/>
        </w:rPr>
        <w:t xml:space="preserve">change </w:t>
      </w:r>
      <w:r>
        <w:rPr>
          <w:rFonts w:ascii="Trebuchet MS" w:hAnsi="Trebuchet MS"/>
          <w:sz w:val="20"/>
          <w:szCs w:val="20"/>
        </w:rPr>
        <w:t xml:space="preserve">to report </w:t>
      </w:r>
      <w:r w:rsidR="00B25462" w:rsidRPr="007337C6">
        <w:rPr>
          <w:rFonts w:ascii="Trebuchet MS" w:hAnsi="Trebuchet MS"/>
          <w:sz w:val="20"/>
          <w:szCs w:val="20"/>
        </w:rPr>
        <w:t xml:space="preserve">from </w:t>
      </w:r>
      <w:r w:rsidR="00287E7E">
        <w:rPr>
          <w:rFonts w:ascii="Trebuchet MS" w:hAnsi="Trebuchet MS"/>
          <w:sz w:val="20"/>
          <w:szCs w:val="20"/>
        </w:rPr>
        <w:t xml:space="preserve">the </w:t>
      </w:r>
      <w:r w:rsidR="00B25462" w:rsidRPr="007337C6">
        <w:rPr>
          <w:rFonts w:ascii="Trebuchet MS" w:hAnsi="Trebuchet MS"/>
          <w:sz w:val="20"/>
          <w:szCs w:val="20"/>
        </w:rPr>
        <w:t>initial report</w:t>
      </w:r>
      <w:bookmarkEnd w:id="106"/>
      <w:bookmarkEnd w:id="107"/>
      <w:r>
        <w:rPr>
          <w:rFonts w:ascii="Trebuchet MS" w:hAnsi="Trebuchet MS"/>
          <w:sz w:val="20"/>
          <w:szCs w:val="20"/>
        </w:rPr>
        <w:t xml:space="preserve">.  In particular, the </w:t>
      </w:r>
      <w:r w:rsidR="005E55C1">
        <w:rPr>
          <w:rFonts w:ascii="Trebuchet MS" w:hAnsi="Trebuchet MS"/>
          <w:sz w:val="20"/>
          <w:szCs w:val="20"/>
        </w:rPr>
        <w:t>COVID-19</w:t>
      </w:r>
      <w:r w:rsidR="00CD0004">
        <w:rPr>
          <w:rFonts w:ascii="Trebuchet MS" w:hAnsi="Trebuchet MS"/>
          <w:sz w:val="20"/>
          <w:szCs w:val="20"/>
        </w:rPr>
        <w:t xml:space="preserve"> pandemic has not led to a change in the financial compensation schemes available.  Nor have continuing negotiations between the UK and EU regarding the UK’s future relationship with the EU led to any specific change in the outlook for the future of passporting in financial services/freedom of services.</w:t>
      </w:r>
    </w:p>
    <w:p w14:paraId="5E63EB99" w14:textId="4736A815" w:rsidR="0056048D" w:rsidRPr="007337C6" w:rsidRDefault="006B3963" w:rsidP="006A07D6">
      <w:pPr>
        <w:pStyle w:val="Heading1"/>
        <w:numPr>
          <w:ilvl w:val="1"/>
          <w:numId w:val="1"/>
        </w:numPr>
        <w:rPr>
          <w:color w:val="0070C0"/>
        </w:rPr>
      </w:pPr>
      <w:bookmarkStart w:id="108" w:name="_Toc52451894"/>
      <w:r w:rsidRPr="007337C6">
        <w:rPr>
          <w:color w:val="0070C0"/>
        </w:rPr>
        <w:t>Treating customers fairly</w:t>
      </w:r>
      <w:bookmarkEnd w:id="108"/>
    </w:p>
    <w:p w14:paraId="0467FF4F" w14:textId="6D7AA3C7" w:rsidR="00B25462" w:rsidRPr="007337C6" w:rsidRDefault="00B25462" w:rsidP="00B25462">
      <w:pPr>
        <w:rPr>
          <w:rFonts w:ascii="Trebuchet MS" w:hAnsi="Trebuchet MS"/>
          <w:i/>
          <w:iCs/>
        </w:rPr>
      </w:pPr>
    </w:p>
    <w:p w14:paraId="15D443C3" w14:textId="7110A0B8" w:rsidR="00A05F65" w:rsidRPr="007337C6" w:rsidRDefault="00A05F65" w:rsidP="00A05F65">
      <w:pPr>
        <w:rPr>
          <w:rFonts w:ascii="Trebuchet MS" w:eastAsiaTheme="majorEastAsia" w:hAnsi="Trebuchet MS" w:cstheme="majorBidi"/>
          <w:b/>
          <w:color w:val="00B050"/>
          <w:sz w:val="20"/>
          <w:szCs w:val="20"/>
        </w:rPr>
      </w:pPr>
      <w:r>
        <w:rPr>
          <w:rFonts w:ascii="Trebuchet MS" w:hAnsi="Trebuchet MS"/>
          <w:sz w:val="20"/>
          <w:szCs w:val="20"/>
        </w:rPr>
        <w:t xml:space="preserve">There is no change to report from the initial report in respect of Treating Customers fairly.  In particular, it should be noted that all the Boards of AGIL and LGI are of the view that the products offered by Assurant continue to provide value for money in the light of the </w:t>
      </w:r>
      <w:r w:rsidR="005E55C1">
        <w:rPr>
          <w:rFonts w:ascii="Trebuchet MS" w:hAnsi="Trebuchet MS"/>
          <w:sz w:val="20"/>
          <w:szCs w:val="20"/>
        </w:rPr>
        <w:t>COVID-19</w:t>
      </w:r>
      <w:r>
        <w:rPr>
          <w:rFonts w:ascii="Trebuchet MS" w:hAnsi="Trebuchet MS"/>
          <w:sz w:val="20"/>
          <w:szCs w:val="20"/>
        </w:rPr>
        <w:t xml:space="preserve"> pandemic and that the value of the product offered to consumers in Assurant’s various motor and mobile phones continue to be of value to consumers through </w:t>
      </w:r>
      <w:r w:rsidR="005E55C1">
        <w:rPr>
          <w:rFonts w:ascii="Trebuchet MS" w:hAnsi="Trebuchet MS"/>
          <w:sz w:val="20"/>
          <w:szCs w:val="20"/>
        </w:rPr>
        <w:t>COVID-19</w:t>
      </w:r>
      <w:r>
        <w:rPr>
          <w:rFonts w:ascii="Trebuchet MS" w:hAnsi="Trebuchet MS"/>
          <w:sz w:val="20"/>
          <w:szCs w:val="20"/>
        </w:rPr>
        <w:t xml:space="preserve"> (the Board of AEI concurs with this view).  For example, in the case of mobile phone covers, the shift to an online economy has highlighted value to customers.  In the case of motor insurance, motor warranty and GAP claims have increased to normal levels at the time of writing as, for example, car dealership networks recommence trading </w:t>
      </w:r>
      <w:r>
        <w:rPr>
          <w:rFonts w:ascii="Trebuchet MS" w:hAnsi="Trebuchet MS"/>
          <w:sz w:val="20"/>
          <w:szCs w:val="20"/>
        </w:rPr>
        <w:lastRenderedPageBreak/>
        <w:t xml:space="preserve">following lock-down in various countries.  Creditor insurance providing sickness and unemployment insurance typically experiences higher claims during a pandemic providing a source of value to consumers.  The Board of the legal entities will continue to review the value for money of their products through the </w:t>
      </w:r>
      <w:r w:rsidR="005E55C1">
        <w:rPr>
          <w:rFonts w:ascii="Trebuchet MS" w:hAnsi="Trebuchet MS"/>
          <w:sz w:val="20"/>
          <w:szCs w:val="20"/>
        </w:rPr>
        <w:t>COVID-19</w:t>
      </w:r>
      <w:r>
        <w:rPr>
          <w:rFonts w:ascii="Trebuchet MS" w:hAnsi="Trebuchet MS"/>
          <w:sz w:val="20"/>
          <w:szCs w:val="20"/>
        </w:rPr>
        <w:t xml:space="preserve"> pandemic.  I continue to believe that the Transfer</w:t>
      </w:r>
      <w:r w:rsidRPr="00E464DD">
        <w:rPr>
          <w:rFonts w:ascii="Trebuchet MS" w:hAnsi="Trebuchet MS"/>
          <w:sz w:val="20"/>
          <w:szCs w:val="20"/>
        </w:rPr>
        <w:t xml:space="preserve"> will have no significant impact on the treatment of Transferring and non-Transferring policyholders of AGIL and LGI.</w:t>
      </w:r>
    </w:p>
    <w:p w14:paraId="7818646C" w14:textId="01BBD887" w:rsidR="009A19D5" w:rsidRPr="007337C6" w:rsidRDefault="009A19D5" w:rsidP="00B346CF">
      <w:pPr>
        <w:rPr>
          <w:rFonts w:ascii="Trebuchet MS" w:hAnsi="Trebuchet MS"/>
          <w:sz w:val="20"/>
          <w:szCs w:val="20"/>
        </w:rPr>
      </w:pPr>
    </w:p>
    <w:p w14:paraId="1D960BF5" w14:textId="00E6EE3F" w:rsidR="00F01E2D" w:rsidRPr="007337C6" w:rsidRDefault="00F01E2D" w:rsidP="006A07D6">
      <w:pPr>
        <w:pStyle w:val="Heading1"/>
        <w:numPr>
          <w:ilvl w:val="1"/>
          <w:numId w:val="1"/>
        </w:numPr>
        <w:rPr>
          <w:color w:val="0070C0"/>
        </w:rPr>
      </w:pPr>
      <w:bookmarkStart w:id="109" w:name="_Toc52451895"/>
      <w:r w:rsidRPr="007337C6">
        <w:rPr>
          <w:color w:val="0070C0"/>
        </w:rPr>
        <w:t>C</w:t>
      </w:r>
      <w:r w:rsidR="00992CA4" w:rsidRPr="007337C6">
        <w:rPr>
          <w:color w:val="0070C0"/>
        </w:rPr>
        <w:t>onsumer protection schemes</w:t>
      </w:r>
      <w:bookmarkEnd w:id="109"/>
      <w:r w:rsidR="00992CA4" w:rsidRPr="007337C6">
        <w:rPr>
          <w:color w:val="0070C0"/>
        </w:rPr>
        <w:t xml:space="preserve"> </w:t>
      </w:r>
      <w:r w:rsidRPr="007337C6">
        <w:rPr>
          <w:color w:val="0070C0"/>
        </w:rPr>
        <w:t xml:space="preserve"> </w:t>
      </w:r>
    </w:p>
    <w:p w14:paraId="5E0CFFC1" w14:textId="77777777" w:rsidR="00F74BDC" w:rsidRDefault="00F74BDC" w:rsidP="00B25462">
      <w:pPr>
        <w:rPr>
          <w:rFonts w:ascii="Trebuchet MS" w:hAnsi="Trebuchet MS"/>
          <w:sz w:val="20"/>
          <w:szCs w:val="20"/>
        </w:rPr>
      </w:pPr>
    </w:p>
    <w:p w14:paraId="68E89C07" w14:textId="33BC7FA8" w:rsidR="00265265" w:rsidRPr="007337C6" w:rsidRDefault="00CD0004" w:rsidP="00265265">
      <w:pPr>
        <w:rPr>
          <w:rFonts w:ascii="Trebuchet MS" w:hAnsi="Trebuchet MS"/>
          <w:sz w:val="20"/>
          <w:szCs w:val="20"/>
        </w:rPr>
      </w:pPr>
      <w:r>
        <w:rPr>
          <w:rFonts w:ascii="Trebuchet MS" w:hAnsi="Trebuchet MS"/>
          <w:sz w:val="20"/>
          <w:szCs w:val="20"/>
        </w:rPr>
        <w:t xml:space="preserve">As noted in section 7.5, there have been no specific material changes to these to note in this report.  </w:t>
      </w:r>
    </w:p>
    <w:p w14:paraId="3EB6A2CB" w14:textId="58E99F33" w:rsidR="00265265" w:rsidRPr="007337C6" w:rsidRDefault="00265265" w:rsidP="00265265">
      <w:pPr>
        <w:pStyle w:val="Heading1"/>
        <w:numPr>
          <w:ilvl w:val="0"/>
          <w:numId w:val="1"/>
        </w:numPr>
        <w:rPr>
          <w:color w:val="0070C0"/>
          <w:lang w:val="en-GB"/>
        </w:rPr>
      </w:pPr>
      <w:bookmarkStart w:id="110" w:name="_Toc52451896"/>
      <w:r w:rsidRPr="007337C6">
        <w:rPr>
          <w:color w:val="0070C0"/>
          <w:lang w:val="en-GB"/>
        </w:rPr>
        <w:t>Business strategy</w:t>
      </w:r>
      <w:bookmarkEnd w:id="110"/>
    </w:p>
    <w:p w14:paraId="7F900EF3" w14:textId="77777777" w:rsidR="00265265" w:rsidRPr="007337C6" w:rsidRDefault="00265265" w:rsidP="00265265">
      <w:pPr>
        <w:rPr>
          <w:rFonts w:ascii="Trebuchet MS" w:hAnsi="Trebuchet MS"/>
        </w:rPr>
      </w:pPr>
    </w:p>
    <w:p w14:paraId="6F7F5B9A" w14:textId="1E2E8F84" w:rsidR="00265265" w:rsidRPr="007337C6" w:rsidRDefault="00CD0004" w:rsidP="00265265">
      <w:pPr>
        <w:rPr>
          <w:rFonts w:ascii="Trebuchet MS" w:eastAsiaTheme="majorEastAsia" w:hAnsi="Trebuchet MS" w:cstheme="majorBidi"/>
          <w:b/>
          <w:color w:val="00B050"/>
          <w:sz w:val="20"/>
          <w:szCs w:val="20"/>
        </w:rPr>
      </w:pPr>
      <w:bookmarkStart w:id="111" w:name="_Hlk36021771"/>
      <w:r>
        <w:rPr>
          <w:rFonts w:ascii="Trebuchet MS" w:hAnsi="Trebuchet MS"/>
          <w:sz w:val="20"/>
          <w:szCs w:val="20"/>
        </w:rPr>
        <w:t xml:space="preserve">At the time of writing, the legal entities covered in this report are preparing and updating their business plans for 2021 and beyond.  These business strategies reflect likely future sales for the legal entities in their respective commercial markets.  </w:t>
      </w:r>
      <w:r w:rsidR="00B37AD0">
        <w:rPr>
          <w:rFonts w:ascii="Trebuchet MS" w:hAnsi="Trebuchet MS"/>
          <w:sz w:val="20"/>
          <w:szCs w:val="20"/>
        </w:rPr>
        <w:t xml:space="preserve">I am not aware of any </w:t>
      </w:r>
      <w:r>
        <w:rPr>
          <w:rFonts w:ascii="Trebuchet MS" w:hAnsi="Trebuchet MS"/>
          <w:sz w:val="20"/>
          <w:szCs w:val="20"/>
        </w:rPr>
        <w:t xml:space="preserve">planned changes that would adversely change the opinions that I provided in the initial report. </w:t>
      </w:r>
    </w:p>
    <w:bookmarkEnd w:id="111"/>
    <w:p w14:paraId="7CF315F0" w14:textId="149D9000" w:rsidR="00697B38" w:rsidRPr="007337C6" w:rsidRDefault="00697B38">
      <w:pPr>
        <w:rPr>
          <w:rFonts w:ascii="Trebuchet MS" w:hAnsi="Trebuchet MS"/>
        </w:rPr>
      </w:pPr>
    </w:p>
    <w:p w14:paraId="5D93DF36" w14:textId="03D2EBE2" w:rsidR="00697B38" w:rsidRPr="007337C6" w:rsidRDefault="00697B38" w:rsidP="00E22052">
      <w:pPr>
        <w:pStyle w:val="Heading1"/>
        <w:numPr>
          <w:ilvl w:val="0"/>
          <w:numId w:val="1"/>
        </w:numPr>
        <w:rPr>
          <w:color w:val="0070C0"/>
        </w:rPr>
      </w:pPr>
      <w:bookmarkStart w:id="112" w:name="_Toc52451897"/>
      <w:r w:rsidRPr="007337C6">
        <w:rPr>
          <w:color w:val="0070C0"/>
        </w:rPr>
        <w:t>New Governance Framework</w:t>
      </w:r>
      <w:bookmarkEnd w:id="112"/>
    </w:p>
    <w:p w14:paraId="4E3EB846" w14:textId="59F70EF1" w:rsidR="00E22052" w:rsidRPr="007337C6" w:rsidRDefault="00E22052" w:rsidP="00E22052">
      <w:pPr>
        <w:rPr>
          <w:rFonts w:ascii="Trebuchet MS" w:hAnsi="Trebuchet MS"/>
          <w:lang w:val="en-US"/>
        </w:rPr>
      </w:pPr>
    </w:p>
    <w:p w14:paraId="22287063" w14:textId="68BA84B4" w:rsidR="003213C8" w:rsidRPr="00EF5FD1" w:rsidRDefault="00CD0004" w:rsidP="00E22052">
      <w:pPr>
        <w:rPr>
          <w:rFonts w:ascii="Trebuchet MS" w:eastAsiaTheme="majorEastAsia" w:hAnsi="Trebuchet MS" w:cstheme="majorBidi"/>
          <w:b/>
          <w:color w:val="00B050"/>
          <w:sz w:val="20"/>
          <w:szCs w:val="20"/>
        </w:rPr>
      </w:pPr>
      <w:r>
        <w:rPr>
          <w:rFonts w:ascii="Trebuchet MS" w:hAnsi="Trebuchet MS"/>
          <w:sz w:val="20"/>
          <w:szCs w:val="20"/>
        </w:rPr>
        <w:t>There has been no change to the governance structures described in the initial report since that report was written. It should be noted that the governance structures described in that report for AEI and AEL are fully operational following the authorisation of these legal entities in June 2020.</w:t>
      </w:r>
    </w:p>
    <w:p w14:paraId="2107816D" w14:textId="412E8149" w:rsidR="00FA0241" w:rsidRPr="007337C6" w:rsidRDefault="00BB3EEE" w:rsidP="00E22052">
      <w:pPr>
        <w:pStyle w:val="Heading1"/>
        <w:numPr>
          <w:ilvl w:val="0"/>
          <w:numId w:val="1"/>
        </w:numPr>
        <w:rPr>
          <w:color w:val="0070C0"/>
        </w:rPr>
      </w:pPr>
      <w:bookmarkStart w:id="113" w:name="_Toc52451898"/>
      <w:r w:rsidRPr="007337C6">
        <w:rPr>
          <w:color w:val="0070C0"/>
        </w:rPr>
        <w:t>Other considerations</w:t>
      </w:r>
      <w:bookmarkEnd w:id="113"/>
      <w:r w:rsidRPr="007337C6">
        <w:rPr>
          <w:color w:val="0070C0"/>
        </w:rPr>
        <w:t xml:space="preserve"> </w:t>
      </w:r>
    </w:p>
    <w:p w14:paraId="5E8CA21E" w14:textId="77777777" w:rsidR="00FA0241" w:rsidRPr="007337C6" w:rsidRDefault="00FA0241" w:rsidP="00FA0241">
      <w:pPr>
        <w:rPr>
          <w:rFonts w:ascii="Trebuchet MS" w:hAnsi="Trebuchet MS"/>
          <w:highlight w:val="cyan"/>
        </w:rPr>
      </w:pPr>
    </w:p>
    <w:p w14:paraId="2119A013" w14:textId="3A2A68B6" w:rsidR="00FA0241" w:rsidRPr="007337C6" w:rsidRDefault="00220AD8" w:rsidP="006A07D6">
      <w:pPr>
        <w:pStyle w:val="Heading1"/>
        <w:numPr>
          <w:ilvl w:val="1"/>
          <w:numId w:val="1"/>
        </w:numPr>
        <w:rPr>
          <w:color w:val="0070C0"/>
        </w:rPr>
      </w:pPr>
      <w:bookmarkStart w:id="114" w:name="_Toc52451899"/>
      <w:r w:rsidRPr="007337C6">
        <w:rPr>
          <w:color w:val="0070C0"/>
        </w:rPr>
        <w:t xml:space="preserve">Update in </w:t>
      </w:r>
      <w:r w:rsidR="00FA0241" w:rsidRPr="007337C6">
        <w:rPr>
          <w:color w:val="0070C0"/>
        </w:rPr>
        <w:t>B2B contracts</w:t>
      </w:r>
      <w:r w:rsidRPr="007337C6">
        <w:rPr>
          <w:color w:val="0070C0"/>
        </w:rPr>
        <w:t xml:space="preserve"> novation process</w:t>
      </w:r>
      <w:bookmarkEnd w:id="114"/>
    </w:p>
    <w:p w14:paraId="724C1EB3" w14:textId="77777777" w:rsidR="00842072" w:rsidRPr="007337C6" w:rsidRDefault="00842072" w:rsidP="005D43BA">
      <w:pPr>
        <w:spacing w:after="0" w:line="240" w:lineRule="auto"/>
        <w:rPr>
          <w:rFonts w:ascii="Trebuchet MS" w:eastAsia="Times New Roman" w:hAnsi="Trebuchet MS"/>
          <w:sz w:val="20"/>
          <w:szCs w:val="20"/>
        </w:rPr>
      </w:pPr>
    </w:p>
    <w:p w14:paraId="60907C89" w14:textId="27770963" w:rsidR="005D43BA" w:rsidRPr="007337C6" w:rsidRDefault="00964497" w:rsidP="005D43BA">
      <w:pPr>
        <w:spacing w:after="0" w:line="240" w:lineRule="auto"/>
        <w:rPr>
          <w:rFonts w:ascii="Trebuchet MS" w:eastAsia="Times New Roman" w:hAnsi="Trebuchet MS"/>
          <w:sz w:val="20"/>
          <w:szCs w:val="20"/>
        </w:rPr>
      </w:pPr>
      <w:r w:rsidRPr="007337C6">
        <w:rPr>
          <w:rFonts w:ascii="Trebuchet MS" w:eastAsia="Times New Roman" w:hAnsi="Trebuchet MS"/>
          <w:sz w:val="20"/>
          <w:szCs w:val="20"/>
        </w:rPr>
        <w:t xml:space="preserve">The B2B contracts novation process is well </w:t>
      </w:r>
      <w:r w:rsidR="009B0C49" w:rsidRPr="007337C6">
        <w:rPr>
          <w:rFonts w:ascii="Trebuchet MS" w:eastAsia="Times New Roman" w:hAnsi="Trebuchet MS"/>
          <w:sz w:val="20"/>
          <w:szCs w:val="20"/>
        </w:rPr>
        <w:t>underway,</w:t>
      </w:r>
      <w:r w:rsidRPr="007337C6">
        <w:rPr>
          <w:rFonts w:ascii="Trebuchet MS" w:eastAsia="Times New Roman" w:hAnsi="Trebuchet MS"/>
          <w:sz w:val="20"/>
          <w:szCs w:val="20"/>
        </w:rPr>
        <w:t xml:space="preserve"> and no objection has been registered so far at the time of writing this supplementary report.</w:t>
      </w:r>
    </w:p>
    <w:p w14:paraId="783F3D55" w14:textId="07FFD2AE" w:rsidR="0088060F" w:rsidRPr="007337C6" w:rsidRDefault="0088060F" w:rsidP="0088060F">
      <w:pPr>
        <w:rPr>
          <w:rFonts w:ascii="Trebuchet MS" w:hAnsi="Trebuchet MS"/>
          <w:highlight w:val="yellow"/>
        </w:rPr>
      </w:pPr>
    </w:p>
    <w:p w14:paraId="39839954" w14:textId="75AB1585" w:rsidR="0045605A" w:rsidRPr="007337C6" w:rsidRDefault="0045605A" w:rsidP="00FA0241">
      <w:pPr>
        <w:pStyle w:val="Heading1"/>
        <w:numPr>
          <w:ilvl w:val="0"/>
          <w:numId w:val="1"/>
        </w:numPr>
        <w:rPr>
          <w:color w:val="0070C0"/>
        </w:rPr>
      </w:pPr>
      <w:bookmarkStart w:id="115" w:name="_Toc52451900"/>
      <w:r w:rsidRPr="007337C6">
        <w:rPr>
          <w:color w:val="0070C0"/>
        </w:rPr>
        <w:t>Limitations</w:t>
      </w:r>
      <w:bookmarkEnd w:id="115"/>
    </w:p>
    <w:p w14:paraId="6FE688D9" w14:textId="77777777" w:rsidR="004435AC" w:rsidRPr="007337C6" w:rsidRDefault="004435AC" w:rsidP="004435AC">
      <w:pPr>
        <w:rPr>
          <w:rFonts w:ascii="Trebuchet MS" w:hAnsi="Trebuchet MS"/>
        </w:rPr>
      </w:pPr>
    </w:p>
    <w:p w14:paraId="2F39A70E" w14:textId="7B48788A" w:rsidR="004435AC" w:rsidRPr="007337C6" w:rsidRDefault="004435AC" w:rsidP="004435AC">
      <w:pPr>
        <w:pStyle w:val="ListParagraph"/>
        <w:numPr>
          <w:ilvl w:val="0"/>
          <w:numId w:val="34"/>
        </w:numPr>
        <w:rPr>
          <w:rFonts w:ascii="Trebuchet MS" w:hAnsi="Trebuchet MS"/>
          <w:sz w:val="20"/>
          <w:szCs w:val="20"/>
        </w:rPr>
      </w:pPr>
      <w:r w:rsidRPr="007337C6">
        <w:rPr>
          <w:rFonts w:ascii="Trebuchet MS" w:hAnsi="Trebuchet MS"/>
          <w:sz w:val="20"/>
          <w:szCs w:val="20"/>
        </w:rPr>
        <w:t xml:space="preserve">The non-analytical assessment of the Scheme is based on business, regulatory and general economic views, some of which are </w:t>
      </w:r>
      <w:proofErr w:type="gramStart"/>
      <w:r w:rsidRPr="007337C6">
        <w:rPr>
          <w:rFonts w:ascii="Trebuchet MS" w:hAnsi="Trebuchet MS"/>
          <w:sz w:val="20"/>
          <w:szCs w:val="20"/>
        </w:rPr>
        <w:t>facts,</w:t>
      </w:r>
      <w:proofErr w:type="gramEnd"/>
      <w:r w:rsidRPr="007337C6">
        <w:rPr>
          <w:rFonts w:ascii="Trebuchet MS" w:hAnsi="Trebuchet MS"/>
          <w:sz w:val="20"/>
          <w:szCs w:val="20"/>
        </w:rPr>
        <w:t xml:space="preserve"> and some are based on our understanding and perceptions. However, we have used various </w:t>
      </w:r>
      <w:proofErr w:type="gramStart"/>
      <w:r w:rsidRPr="007337C6">
        <w:rPr>
          <w:rFonts w:ascii="Trebuchet MS" w:hAnsi="Trebuchet MS"/>
          <w:sz w:val="20"/>
          <w:szCs w:val="20"/>
        </w:rPr>
        <w:t>expertise</w:t>
      </w:r>
      <w:proofErr w:type="gramEnd"/>
      <w:r w:rsidRPr="007337C6">
        <w:rPr>
          <w:rFonts w:ascii="Trebuchet MS" w:hAnsi="Trebuchet MS"/>
          <w:sz w:val="20"/>
          <w:szCs w:val="20"/>
        </w:rPr>
        <w:t>, internal and external to support us, thus reducing the risk of making the wrong assumptions.</w:t>
      </w:r>
    </w:p>
    <w:p w14:paraId="2D481F48" w14:textId="469A1CEC" w:rsidR="00AD2029" w:rsidRPr="007337C6" w:rsidRDefault="00B9500D" w:rsidP="004435AC">
      <w:pPr>
        <w:pStyle w:val="ListParagraph"/>
        <w:numPr>
          <w:ilvl w:val="0"/>
          <w:numId w:val="34"/>
        </w:numPr>
        <w:rPr>
          <w:rFonts w:ascii="Trebuchet MS" w:hAnsi="Trebuchet MS"/>
          <w:sz w:val="20"/>
          <w:szCs w:val="20"/>
        </w:rPr>
      </w:pPr>
      <w:r w:rsidRPr="007337C6">
        <w:rPr>
          <w:rFonts w:ascii="Trebuchet MS" w:hAnsi="Trebuchet MS"/>
          <w:sz w:val="20"/>
          <w:szCs w:val="20"/>
        </w:rPr>
        <w:t xml:space="preserve">The analytical assessment of the Scheme has been data driven and based on factual financial </w:t>
      </w:r>
      <w:r w:rsidR="00AD2029" w:rsidRPr="007337C6">
        <w:rPr>
          <w:rFonts w:ascii="Trebuchet MS" w:hAnsi="Trebuchet MS"/>
          <w:sz w:val="20"/>
          <w:szCs w:val="20"/>
        </w:rPr>
        <w:t>results of YE19. However, some assumptions have been made in order to</w:t>
      </w:r>
      <w:r w:rsidRPr="007337C6">
        <w:rPr>
          <w:rFonts w:ascii="Trebuchet MS" w:hAnsi="Trebuchet MS"/>
          <w:sz w:val="20"/>
          <w:szCs w:val="20"/>
        </w:rPr>
        <w:t xml:space="preserve"> perform</w:t>
      </w:r>
      <w:r w:rsidR="00AD2029" w:rsidRPr="007337C6">
        <w:rPr>
          <w:rFonts w:ascii="Trebuchet MS" w:hAnsi="Trebuchet MS"/>
          <w:sz w:val="20"/>
          <w:szCs w:val="20"/>
        </w:rPr>
        <w:t xml:space="preserve"> the analysis and these assumptions have some inherent limitations.</w:t>
      </w:r>
      <w:r w:rsidR="004F164E" w:rsidRPr="007337C6">
        <w:rPr>
          <w:rFonts w:ascii="Trebuchet MS" w:hAnsi="Trebuchet MS"/>
          <w:sz w:val="20"/>
          <w:szCs w:val="20"/>
        </w:rPr>
        <w:t xml:space="preserve"> </w:t>
      </w:r>
      <w:r w:rsidR="00AD2029" w:rsidRPr="007337C6">
        <w:rPr>
          <w:rFonts w:ascii="Trebuchet MS" w:hAnsi="Trebuchet MS"/>
          <w:sz w:val="20"/>
          <w:szCs w:val="20"/>
        </w:rPr>
        <w:t>We note some of the key limitations of the analytical assessment as follows, in a non-exhaustive list:</w:t>
      </w:r>
    </w:p>
    <w:p w14:paraId="61A9102F" w14:textId="6F1497F5" w:rsidR="003F244C" w:rsidRPr="007337C6" w:rsidRDefault="003F244C" w:rsidP="003F244C">
      <w:pPr>
        <w:pStyle w:val="ListParagraph"/>
        <w:numPr>
          <w:ilvl w:val="0"/>
          <w:numId w:val="35"/>
        </w:numPr>
        <w:rPr>
          <w:rFonts w:ascii="Trebuchet MS" w:hAnsi="Trebuchet MS"/>
          <w:sz w:val="20"/>
          <w:szCs w:val="20"/>
        </w:rPr>
      </w:pPr>
      <w:r w:rsidRPr="007337C6">
        <w:rPr>
          <w:rFonts w:ascii="Trebuchet MS" w:hAnsi="Trebuchet MS"/>
          <w:sz w:val="20"/>
          <w:szCs w:val="20"/>
        </w:rPr>
        <w:t xml:space="preserve">The actual Transfer will take place on </w:t>
      </w:r>
      <w:r w:rsidR="002578D7" w:rsidRPr="007337C6">
        <w:rPr>
          <w:rFonts w:ascii="Trebuchet MS" w:hAnsi="Trebuchet MS"/>
          <w:sz w:val="20"/>
          <w:szCs w:val="20"/>
        </w:rPr>
        <w:t>2 November</w:t>
      </w:r>
      <w:r w:rsidRPr="007337C6">
        <w:rPr>
          <w:rFonts w:ascii="Trebuchet MS" w:hAnsi="Trebuchet MS"/>
          <w:sz w:val="20"/>
          <w:szCs w:val="20"/>
        </w:rPr>
        <w:t xml:space="preserve"> 2020 while the financial analysis of the Scheme has been done on a “as-if” basis as at YE19</w:t>
      </w:r>
      <w:r w:rsidR="00B947A1" w:rsidRPr="007337C6">
        <w:rPr>
          <w:rFonts w:ascii="Trebuchet MS" w:hAnsi="Trebuchet MS"/>
          <w:sz w:val="20"/>
          <w:szCs w:val="20"/>
        </w:rPr>
        <w:t xml:space="preserve"> and 2Q20</w:t>
      </w:r>
      <w:r w:rsidRPr="007337C6">
        <w:rPr>
          <w:rFonts w:ascii="Trebuchet MS" w:hAnsi="Trebuchet MS"/>
          <w:sz w:val="20"/>
          <w:szCs w:val="20"/>
        </w:rPr>
        <w:t xml:space="preserve">. Some valuations were initially done as at 3Q20 and their values as at YE19 </w:t>
      </w:r>
      <w:r w:rsidR="00B947A1" w:rsidRPr="007337C6">
        <w:rPr>
          <w:rFonts w:ascii="Trebuchet MS" w:hAnsi="Trebuchet MS"/>
          <w:sz w:val="20"/>
          <w:szCs w:val="20"/>
        </w:rPr>
        <w:t xml:space="preserve">and 2Q20 </w:t>
      </w:r>
      <w:r w:rsidRPr="007337C6">
        <w:rPr>
          <w:rFonts w:ascii="Trebuchet MS" w:hAnsi="Trebuchet MS"/>
          <w:sz w:val="20"/>
          <w:szCs w:val="20"/>
        </w:rPr>
        <w:t>were estimated by making some judgment.</w:t>
      </w:r>
    </w:p>
    <w:p w14:paraId="71C711A9" w14:textId="6988B8AF" w:rsidR="00BC2A59" w:rsidRPr="007337C6" w:rsidRDefault="00BC2A59" w:rsidP="004435AC">
      <w:pPr>
        <w:pStyle w:val="ListParagraph"/>
        <w:numPr>
          <w:ilvl w:val="0"/>
          <w:numId w:val="35"/>
        </w:numPr>
        <w:rPr>
          <w:rFonts w:ascii="Trebuchet MS" w:hAnsi="Trebuchet MS"/>
          <w:sz w:val="20"/>
          <w:szCs w:val="20"/>
        </w:rPr>
      </w:pPr>
      <w:r w:rsidRPr="007337C6">
        <w:rPr>
          <w:rFonts w:ascii="Trebuchet MS" w:hAnsi="Trebuchet MS"/>
          <w:sz w:val="20"/>
          <w:szCs w:val="20"/>
        </w:rPr>
        <w:t xml:space="preserve">The impact of </w:t>
      </w:r>
      <w:r w:rsidR="005E55C1">
        <w:rPr>
          <w:rFonts w:ascii="Trebuchet MS" w:hAnsi="Trebuchet MS"/>
          <w:sz w:val="20"/>
          <w:szCs w:val="20"/>
        </w:rPr>
        <w:t>COVID-19</w:t>
      </w:r>
      <w:r w:rsidRPr="007337C6">
        <w:rPr>
          <w:rFonts w:ascii="Trebuchet MS" w:hAnsi="Trebuchet MS"/>
          <w:sz w:val="20"/>
          <w:szCs w:val="20"/>
        </w:rPr>
        <w:t xml:space="preserve"> has been assessed based on what we know about the disease up to </w:t>
      </w:r>
      <w:r w:rsidR="006C303A">
        <w:rPr>
          <w:rFonts w:ascii="Trebuchet MS" w:hAnsi="Trebuchet MS"/>
          <w:sz w:val="20"/>
          <w:szCs w:val="20"/>
        </w:rPr>
        <w:t xml:space="preserve">end September </w:t>
      </w:r>
      <w:r w:rsidRPr="007337C6">
        <w:rPr>
          <w:rFonts w:ascii="Trebuchet MS" w:hAnsi="Trebuchet MS"/>
          <w:sz w:val="20"/>
          <w:szCs w:val="20"/>
        </w:rPr>
        <w:t xml:space="preserve">2020, this might not be enough to fully capture the true impact of the disease. As more </w:t>
      </w:r>
      <w:r w:rsidRPr="007337C6">
        <w:rPr>
          <w:rFonts w:ascii="Trebuchet MS" w:hAnsi="Trebuchet MS"/>
          <w:sz w:val="20"/>
          <w:szCs w:val="20"/>
        </w:rPr>
        <w:lastRenderedPageBreak/>
        <w:t xml:space="preserve">information becomes available with time, more detailed analysis can be performed to refine the impact of </w:t>
      </w:r>
      <w:r w:rsidR="005E55C1">
        <w:rPr>
          <w:rFonts w:ascii="Trebuchet MS" w:hAnsi="Trebuchet MS"/>
          <w:sz w:val="20"/>
          <w:szCs w:val="20"/>
        </w:rPr>
        <w:t>COVID-19</w:t>
      </w:r>
      <w:r w:rsidRPr="007337C6">
        <w:rPr>
          <w:rFonts w:ascii="Trebuchet MS" w:hAnsi="Trebuchet MS"/>
          <w:sz w:val="20"/>
          <w:szCs w:val="20"/>
        </w:rPr>
        <w:t>.</w:t>
      </w:r>
    </w:p>
    <w:p w14:paraId="4DA6B9EF" w14:textId="680A2AD9" w:rsidR="00BC2A59" w:rsidRPr="007337C6" w:rsidRDefault="00BC2A59" w:rsidP="004435AC">
      <w:pPr>
        <w:pStyle w:val="ListParagraph"/>
        <w:numPr>
          <w:ilvl w:val="0"/>
          <w:numId w:val="35"/>
        </w:numPr>
        <w:rPr>
          <w:rFonts w:ascii="Trebuchet MS" w:hAnsi="Trebuchet MS"/>
          <w:sz w:val="20"/>
          <w:szCs w:val="20"/>
        </w:rPr>
      </w:pPr>
      <w:r w:rsidRPr="007337C6">
        <w:rPr>
          <w:rFonts w:ascii="Trebuchet MS" w:hAnsi="Trebuchet MS"/>
          <w:sz w:val="20"/>
          <w:szCs w:val="20"/>
        </w:rPr>
        <w:t xml:space="preserve">We have done an assessment of the capital position of </w:t>
      </w:r>
      <w:r w:rsidR="00C407B1" w:rsidRPr="007337C6">
        <w:rPr>
          <w:rFonts w:ascii="Trebuchet MS" w:hAnsi="Trebuchet MS"/>
          <w:sz w:val="20"/>
          <w:szCs w:val="20"/>
        </w:rPr>
        <w:t>the Transfer</w:t>
      </w:r>
      <w:r w:rsidRPr="007337C6">
        <w:rPr>
          <w:rFonts w:ascii="Trebuchet MS" w:hAnsi="Trebuchet MS"/>
          <w:sz w:val="20"/>
          <w:szCs w:val="20"/>
        </w:rPr>
        <w:t xml:space="preserve"> as at 3Q20 by taking the planned business of 2020 into account, including our perception of the evolution of the impact of </w:t>
      </w:r>
      <w:r w:rsidR="005E55C1">
        <w:rPr>
          <w:rFonts w:ascii="Trebuchet MS" w:hAnsi="Trebuchet MS"/>
          <w:sz w:val="20"/>
          <w:szCs w:val="20"/>
        </w:rPr>
        <w:t>COVID-19</w:t>
      </w:r>
      <w:r w:rsidR="004435AC" w:rsidRPr="007337C6">
        <w:rPr>
          <w:rFonts w:ascii="Trebuchet MS" w:hAnsi="Trebuchet MS"/>
          <w:sz w:val="20"/>
          <w:szCs w:val="20"/>
        </w:rPr>
        <w:t xml:space="preserve"> to 3Q20. This forecast is based on our expectation of how business will evolve</w:t>
      </w:r>
      <w:r w:rsidR="00F541F9" w:rsidRPr="007337C6">
        <w:rPr>
          <w:rFonts w:ascii="Trebuchet MS" w:hAnsi="Trebuchet MS"/>
          <w:sz w:val="20"/>
          <w:szCs w:val="20"/>
        </w:rPr>
        <w:t>. T</w:t>
      </w:r>
      <w:r w:rsidR="004435AC" w:rsidRPr="007337C6">
        <w:rPr>
          <w:rFonts w:ascii="Trebuchet MS" w:hAnsi="Trebuchet MS"/>
          <w:sz w:val="20"/>
          <w:szCs w:val="20"/>
        </w:rPr>
        <w:t>he actual evolution of the business might be different.</w:t>
      </w:r>
    </w:p>
    <w:p w14:paraId="633A1596" w14:textId="5246A9C2" w:rsidR="00205A45" w:rsidRPr="007337C6" w:rsidRDefault="00205A45">
      <w:pPr>
        <w:rPr>
          <w:rFonts w:ascii="Trebuchet MS" w:hAnsi="Trebuchet MS"/>
          <w:sz w:val="20"/>
          <w:szCs w:val="20"/>
        </w:rPr>
      </w:pPr>
      <w:bookmarkStart w:id="116" w:name="_Hlk37881309"/>
      <w:r w:rsidRPr="007337C6">
        <w:rPr>
          <w:rFonts w:ascii="Trebuchet MS" w:hAnsi="Trebuchet MS"/>
          <w:sz w:val="20"/>
          <w:szCs w:val="20"/>
        </w:rPr>
        <w:t xml:space="preserve">Our work was done </w:t>
      </w:r>
      <w:r w:rsidR="00013259" w:rsidRPr="007337C6">
        <w:rPr>
          <w:rFonts w:ascii="Trebuchet MS" w:hAnsi="Trebuchet MS"/>
          <w:sz w:val="20"/>
          <w:szCs w:val="20"/>
        </w:rPr>
        <w:t xml:space="preserve">by </w:t>
      </w:r>
      <w:r w:rsidRPr="007337C6">
        <w:rPr>
          <w:rFonts w:ascii="Trebuchet MS" w:hAnsi="Trebuchet MS"/>
          <w:sz w:val="20"/>
          <w:szCs w:val="20"/>
        </w:rPr>
        <w:t>experienced members of the Actuarial Function and underwent various levels of peer reviews internally</w:t>
      </w:r>
      <w:r w:rsidR="0058421B" w:rsidRPr="007337C6">
        <w:rPr>
          <w:rFonts w:ascii="Trebuchet MS" w:hAnsi="Trebuchet MS"/>
          <w:sz w:val="20"/>
          <w:szCs w:val="20"/>
        </w:rPr>
        <w:t xml:space="preserve"> from other departments </w:t>
      </w:r>
      <w:r w:rsidRPr="007337C6">
        <w:rPr>
          <w:rFonts w:ascii="Trebuchet MS" w:hAnsi="Trebuchet MS"/>
          <w:sz w:val="20"/>
          <w:szCs w:val="20"/>
        </w:rPr>
        <w:t xml:space="preserve">and </w:t>
      </w:r>
      <w:r w:rsidR="0058421B" w:rsidRPr="007337C6">
        <w:rPr>
          <w:rFonts w:ascii="Trebuchet MS" w:hAnsi="Trebuchet MS"/>
          <w:sz w:val="20"/>
          <w:szCs w:val="20"/>
        </w:rPr>
        <w:t>t</w:t>
      </w:r>
      <w:r w:rsidRPr="007337C6">
        <w:rPr>
          <w:rFonts w:ascii="Trebuchet MS" w:hAnsi="Trebuchet MS"/>
          <w:sz w:val="20"/>
          <w:szCs w:val="20"/>
        </w:rPr>
        <w:t>his contributes to the mitigation of the limitations.</w:t>
      </w:r>
      <w:bookmarkEnd w:id="116"/>
    </w:p>
    <w:p w14:paraId="74F22037" w14:textId="05EC10BA" w:rsidR="00AD2029" w:rsidRPr="007337C6" w:rsidRDefault="004F164E">
      <w:pPr>
        <w:rPr>
          <w:rFonts w:ascii="Trebuchet MS" w:hAnsi="Trebuchet MS"/>
          <w:sz w:val="20"/>
          <w:szCs w:val="20"/>
        </w:rPr>
      </w:pPr>
      <w:r w:rsidRPr="007337C6">
        <w:rPr>
          <w:rFonts w:ascii="Trebuchet MS" w:hAnsi="Trebuchet MS"/>
          <w:sz w:val="20"/>
          <w:szCs w:val="20"/>
        </w:rPr>
        <w:t xml:space="preserve">The key limitations mentioned above are not an exhaustive list, and they are part of the types of regular and well understood limitations inherent to an actuarial analysis of the nature of a </w:t>
      </w:r>
      <w:r w:rsidR="004A5F40" w:rsidRPr="007337C6">
        <w:rPr>
          <w:rFonts w:ascii="Trebuchet MS" w:hAnsi="Trebuchet MS"/>
          <w:sz w:val="20"/>
          <w:szCs w:val="20"/>
        </w:rPr>
        <w:t>Part VII</w:t>
      </w:r>
      <w:r w:rsidRPr="007337C6">
        <w:rPr>
          <w:rFonts w:ascii="Trebuchet MS" w:hAnsi="Trebuchet MS"/>
          <w:sz w:val="20"/>
          <w:szCs w:val="20"/>
        </w:rPr>
        <w:t xml:space="preserve"> Transfer. These limitations do not constitute individually or in aggregate an impediment to the assessment of the Scheme and to the conclusions reached in this report. </w:t>
      </w:r>
    </w:p>
    <w:p w14:paraId="5EE78CAF" w14:textId="26DC5F75" w:rsidR="00ED1963" w:rsidRPr="007337C6" w:rsidRDefault="005230AD" w:rsidP="00FA0241">
      <w:pPr>
        <w:pStyle w:val="Heading1"/>
        <w:numPr>
          <w:ilvl w:val="0"/>
          <w:numId w:val="1"/>
        </w:numPr>
        <w:rPr>
          <w:color w:val="0070C0"/>
        </w:rPr>
      </w:pPr>
      <w:bookmarkStart w:id="117" w:name="_Toc52451901"/>
      <w:r w:rsidRPr="007337C6">
        <w:rPr>
          <w:color w:val="0070C0"/>
        </w:rPr>
        <w:t>Conclusion</w:t>
      </w:r>
      <w:bookmarkEnd w:id="117"/>
      <w:r w:rsidRPr="007337C6">
        <w:rPr>
          <w:color w:val="0070C0"/>
        </w:rPr>
        <w:t xml:space="preserve"> </w:t>
      </w:r>
    </w:p>
    <w:p w14:paraId="6EB29BE4" w14:textId="55137370" w:rsidR="00315C85" w:rsidRPr="007337C6" w:rsidRDefault="00315C85" w:rsidP="00E71E49">
      <w:pPr>
        <w:rPr>
          <w:rFonts w:ascii="Trebuchet MS" w:hAnsi="Trebuchet MS"/>
          <w:highlight w:val="yellow"/>
        </w:rPr>
      </w:pPr>
      <w:bookmarkStart w:id="118" w:name="_Toc530723263"/>
    </w:p>
    <w:p w14:paraId="4EFDBEA6" w14:textId="691AC83B" w:rsidR="00315C85" w:rsidRPr="007337C6" w:rsidRDefault="00315C85" w:rsidP="00315C85">
      <w:pPr>
        <w:rPr>
          <w:rFonts w:ascii="Trebuchet MS" w:hAnsi="Trebuchet MS"/>
          <w:sz w:val="20"/>
          <w:szCs w:val="20"/>
        </w:rPr>
      </w:pPr>
      <w:proofErr w:type="gramStart"/>
      <w:r w:rsidRPr="007337C6">
        <w:rPr>
          <w:rFonts w:ascii="Trebuchet MS" w:hAnsi="Trebuchet MS"/>
          <w:sz w:val="20"/>
          <w:szCs w:val="20"/>
        </w:rPr>
        <w:t xml:space="preserve">After </w:t>
      </w:r>
      <w:r w:rsidR="00C407B1" w:rsidRPr="007337C6">
        <w:rPr>
          <w:rFonts w:ascii="Trebuchet MS" w:hAnsi="Trebuchet MS"/>
          <w:sz w:val="20"/>
          <w:szCs w:val="20"/>
        </w:rPr>
        <w:t>the Transfer</w:t>
      </w:r>
      <w:r w:rsidRPr="007337C6">
        <w:rPr>
          <w:rFonts w:ascii="Trebuchet MS" w:hAnsi="Trebuchet MS"/>
          <w:sz w:val="20"/>
          <w:szCs w:val="20"/>
        </w:rPr>
        <w:t xml:space="preserve">, </w:t>
      </w:r>
      <w:r w:rsidR="00B57C19" w:rsidRPr="007337C6">
        <w:rPr>
          <w:rFonts w:ascii="Trebuchet MS" w:hAnsi="Trebuchet MS"/>
          <w:sz w:val="20"/>
          <w:szCs w:val="20"/>
        </w:rPr>
        <w:t xml:space="preserve">on </w:t>
      </w:r>
      <w:r w:rsidR="002C778E" w:rsidRPr="007337C6">
        <w:rPr>
          <w:rFonts w:ascii="Trebuchet MS" w:hAnsi="Trebuchet MS"/>
          <w:sz w:val="20"/>
          <w:szCs w:val="20"/>
        </w:rPr>
        <w:t xml:space="preserve">as-if </w:t>
      </w:r>
      <w:r w:rsidR="00B57C19" w:rsidRPr="007337C6">
        <w:rPr>
          <w:rFonts w:ascii="Trebuchet MS" w:hAnsi="Trebuchet MS"/>
          <w:sz w:val="20"/>
          <w:szCs w:val="20"/>
        </w:rPr>
        <w:t xml:space="preserve">YE19 </w:t>
      </w:r>
      <w:r w:rsidR="00964497" w:rsidRPr="007337C6">
        <w:rPr>
          <w:rFonts w:ascii="Trebuchet MS" w:hAnsi="Trebuchet MS"/>
          <w:sz w:val="20"/>
          <w:szCs w:val="20"/>
        </w:rPr>
        <w:t xml:space="preserve">without </w:t>
      </w:r>
      <w:r w:rsidR="005E55C1">
        <w:rPr>
          <w:rFonts w:ascii="Trebuchet MS" w:hAnsi="Trebuchet MS"/>
          <w:sz w:val="20"/>
          <w:szCs w:val="20"/>
        </w:rPr>
        <w:t>COVID-19</w:t>
      </w:r>
      <w:r w:rsidR="00964497" w:rsidRPr="007337C6">
        <w:rPr>
          <w:rFonts w:ascii="Trebuchet MS" w:hAnsi="Trebuchet MS"/>
          <w:sz w:val="20"/>
          <w:szCs w:val="20"/>
        </w:rPr>
        <w:t xml:space="preserve"> </w:t>
      </w:r>
      <w:r w:rsidR="00B57C19" w:rsidRPr="007337C6">
        <w:rPr>
          <w:rFonts w:ascii="Trebuchet MS" w:hAnsi="Trebuchet MS"/>
          <w:sz w:val="20"/>
          <w:szCs w:val="20"/>
        </w:rPr>
        <w:t xml:space="preserve">basis, </w:t>
      </w:r>
      <w:r w:rsidRPr="007337C6">
        <w:rPr>
          <w:rFonts w:ascii="Trebuchet MS" w:hAnsi="Trebuchet MS"/>
          <w:sz w:val="20"/>
          <w:szCs w:val="20"/>
        </w:rPr>
        <w:t xml:space="preserve">the SCR ratio of AEI is expected to be </w:t>
      </w:r>
      <w:r w:rsidR="00B57C19" w:rsidRPr="007337C6">
        <w:rPr>
          <w:rFonts w:ascii="Trebuchet MS" w:hAnsi="Trebuchet MS"/>
          <w:sz w:val="20"/>
          <w:szCs w:val="20"/>
        </w:rPr>
        <w:t>1</w:t>
      </w:r>
      <w:r w:rsidR="00B947A1" w:rsidRPr="007337C6">
        <w:rPr>
          <w:rFonts w:ascii="Trebuchet MS" w:hAnsi="Trebuchet MS"/>
          <w:sz w:val="20"/>
          <w:szCs w:val="20"/>
        </w:rPr>
        <w:t>57</w:t>
      </w:r>
      <w:r w:rsidRPr="007337C6">
        <w:rPr>
          <w:rFonts w:ascii="Trebuchet MS" w:hAnsi="Trebuchet MS"/>
          <w:sz w:val="20"/>
          <w:szCs w:val="20"/>
        </w:rPr>
        <w:t>%, which is a good capitalisation level</w:t>
      </w:r>
      <w:r w:rsidR="00FB1BD4" w:rsidRPr="007337C6">
        <w:rPr>
          <w:rFonts w:ascii="Trebuchet MS" w:hAnsi="Trebuchet MS"/>
          <w:sz w:val="20"/>
          <w:szCs w:val="20"/>
        </w:rPr>
        <w:t xml:space="preserve"> allowing for full coverage of AEI’s capital buffer</w:t>
      </w:r>
      <w:r w:rsidRPr="007337C6">
        <w:rPr>
          <w:rFonts w:ascii="Trebuchet MS" w:hAnsi="Trebuchet MS"/>
          <w:sz w:val="20"/>
          <w:szCs w:val="20"/>
        </w:rPr>
        <w:t>.</w:t>
      </w:r>
      <w:proofErr w:type="gramEnd"/>
      <w:r w:rsidRPr="007337C6">
        <w:rPr>
          <w:rFonts w:ascii="Trebuchet MS" w:hAnsi="Trebuchet MS"/>
          <w:sz w:val="20"/>
          <w:szCs w:val="20"/>
        </w:rPr>
        <w:t xml:space="preserve"> Therefore, the financial security of </w:t>
      </w:r>
      <w:r w:rsidR="00C407B1" w:rsidRPr="007337C6">
        <w:rPr>
          <w:rFonts w:ascii="Trebuchet MS" w:hAnsi="Trebuchet MS"/>
          <w:sz w:val="20"/>
          <w:szCs w:val="20"/>
        </w:rPr>
        <w:t>the Transfer</w:t>
      </w:r>
      <w:r w:rsidRPr="007337C6">
        <w:rPr>
          <w:rFonts w:ascii="Trebuchet MS" w:hAnsi="Trebuchet MS"/>
          <w:sz w:val="20"/>
          <w:szCs w:val="20"/>
        </w:rPr>
        <w:t xml:space="preserve">ring policyholders of AGIL and LGI into AEI will be very good.  </w:t>
      </w:r>
    </w:p>
    <w:p w14:paraId="7787B5CD" w14:textId="5C45112A" w:rsidR="00315C85" w:rsidRPr="007337C6" w:rsidRDefault="00315C85" w:rsidP="00315C85">
      <w:pPr>
        <w:rPr>
          <w:rFonts w:ascii="Trebuchet MS" w:hAnsi="Trebuchet MS"/>
          <w:sz w:val="20"/>
          <w:szCs w:val="20"/>
        </w:rPr>
      </w:pPr>
      <w:r w:rsidRPr="007337C6">
        <w:rPr>
          <w:rFonts w:ascii="Trebuchet MS" w:hAnsi="Trebuchet MS"/>
          <w:sz w:val="20"/>
          <w:szCs w:val="20"/>
        </w:rPr>
        <w:t xml:space="preserve">After </w:t>
      </w:r>
      <w:r w:rsidR="00C407B1" w:rsidRPr="007337C6">
        <w:rPr>
          <w:rFonts w:ascii="Trebuchet MS" w:hAnsi="Trebuchet MS"/>
          <w:sz w:val="20"/>
          <w:szCs w:val="20"/>
        </w:rPr>
        <w:t>the Transfer</w:t>
      </w:r>
      <w:r w:rsidRPr="007337C6">
        <w:rPr>
          <w:rFonts w:ascii="Trebuchet MS" w:hAnsi="Trebuchet MS"/>
          <w:sz w:val="20"/>
          <w:szCs w:val="20"/>
        </w:rPr>
        <w:t xml:space="preserve">, the SCR ratio of AGIL is expected to be </w:t>
      </w:r>
      <w:r w:rsidR="00B57C19" w:rsidRPr="007337C6">
        <w:rPr>
          <w:rFonts w:ascii="Trebuchet MS" w:hAnsi="Trebuchet MS"/>
          <w:sz w:val="20"/>
          <w:szCs w:val="20"/>
        </w:rPr>
        <w:t>1</w:t>
      </w:r>
      <w:r w:rsidR="002C778E" w:rsidRPr="007337C6">
        <w:rPr>
          <w:rFonts w:ascii="Trebuchet MS" w:hAnsi="Trebuchet MS"/>
          <w:sz w:val="20"/>
          <w:szCs w:val="20"/>
        </w:rPr>
        <w:t>79</w:t>
      </w:r>
      <w:r w:rsidRPr="007337C6">
        <w:rPr>
          <w:rFonts w:ascii="Trebuchet MS" w:hAnsi="Trebuchet MS"/>
          <w:sz w:val="20"/>
          <w:szCs w:val="20"/>
        </w:rPr>
        <w:t xml:space="preserve">% and that of LGI is expected to be </w:t>
      </w:r>
      <w:r w:rsidR="002C778E" w:rsidRPr="007337C6">
        <w:rPr>
          <w:rFonts w:ascii="Trebuchet MS" w:hAnsi="Trebuchet MS"/>
          <w:sz w:val="20"/>
          <w:szCs w:val="20"/>
        </w:rPr>
        <w:t>26</w:t>
      </w:r>
      <w:r w:rsidR="006C303A">
        <w:rPr>
          <w:rFonts w:ascii="Trebuchet MS" w:hAnsi="Trebuchet MS"/>
          <w:sz w:val="20"/>
          <w:szCs w:val="20"/>
        </w:rPr>
        <w:t>1</w:t>
      </w:r>
      <w:r w:rsidRPr="007337C6">
        <w:rPr>
          <w:rFonts w:ascii="Trebuchet MS" w:hAnsi="Trebuchet MS"/>
          <w:sz w:val="20"/>
          <w:szCs w:val="20"/>
        </w:rPr>
        <w:t>%. Therefore, the financial security of the non-</w:t>
      </w:r>
      <w:r w:rsidR="00EB2E58" w:rsidRPr="007337C6">
        <w:rPr>
          <w:rFonts w:ascii="Trebuchet MS" w:hAnsi="Trebuchet MS"/>
          <w:sz w:val="20"/>
          <w:szCs w:val="20"/>
        </w:rPr>
        <w:t>T</w:t>
      </w:r>
      <w:r w:rsidRPr="007337C6">
        <w:rPr>
          <w:rFonts w:ascii="Trebuchet MS" w:hAnsi="Trebuchet MS"/>
          <w:sz w:val="20"/>
          <w:szCs w:val="20"/>
        </w:rPr>
        <w:t xml:space="preserve">ransferring policyholders remaining in AGIL and LGI is still very good. </w:t>
      </w:r>
    </w:p>
    <w:p w14:paraId="2C566EF6" w14:textId="31EA1631" w:rsidR="00315C85" w:rsidRPr="007337C6" w:rsidRDefault="00964497" w:rsidP="00315C85">
      <w:pPr>
        <w:rPr>
          <w:rFonts w:ascii="Trebuchet MS" w:hAnsi="Trebuchet MS"/>
          <w:sz w:val="20"/>
          <w:szCs w:val="20"/>
        </w:rPr>
      </w:pPr>
      <w:r w:rsidRPr="007337C6">
        <w:rPr>
          <w:rFonts w:ascii="Trebuchet MS" w:hAnsi="Trebuchet MS"/>
          <w:sz w:val="20"/>
          <w:szCs w:val="20"/>
        </w:rPr>
        <w:t>As stated in the initial report, t</w:t>
      </w:r>
      <w:r w:rsidR="00315C85" w:rsidRPr="007337C6">
        <w:rPr>
          <w:rFonts w:ascii="Trebuchet MS" w:hAnsi="Trebuchet MS"/>
          <w:sz w:val="20"/>
          <w:szCs w:val="20"/>
        </w:rPr>
        <w:t xml:space="preserve">he benefit expectation, policy terms and conditions and the servicing and administration of claims for </w:t>
      </w:r>
      <w:r w:rsidR="00C407B1" w:rsidRPr="007337C6">
        <w:rPr>
          <w:rFonts w:ascii="Trebuchet MS" w:hAnsi="Trebuchet MS"/>
          <w:sz w:val="20"/>
          <w:szCs w:val="20"/>
        </w:rPr>
        <w:t>the Transfer</w:t>
      </w:r>
      <w:r w:rsidR="00315C85" w:rsidRPr="007337C6">
        <w:rPr>
          <w:rFonts w:ascii="Trebuchet MS" w:hAnsi="Trebuchet MS"/>
          <w:sz w:val="20"/>
          <w:szCs w:val="20"/>
        </w:rPr>
        <w:t xml:space="preserve">ring policyholders and non-transferring policyholders of AGIL and LGI are expected to remain as strong after </w:t>
      </w:r>
      <w:r w:rsidR="00C407B1" w:rsidRPr="007337C6">
        <w:rPr>
          <w:rFonts w:ascii="Trebuchet MS" w:hAnsi="Trebuchet MS"/>
          <w:sz w:val="20"/>
          <w:szCs w:val="20"/>
        </w:rPr>
        <w:t>the Transfer</w:t>
      </w:r>
      <w:r w:rsidR="00315C85" w:rsidRPr="007337C6">
        <w:rPr>
          <w:rFonts w:ascii="Trebuchet MS" w:hAnsi="Trebuchet MS"/>
          <w:sz w:val="20"/>
          <w:szCs w:val="20"/>
        </w:rPr>
        <w:t xml:space="preserve">. The non-transferring policyholders of AGIL and LGI will continue to benefit from the FSCS in the UK while </w:t>
      </w:r>
      <w:r w:rsidR="00C407B1" w:rsidRPr="007337C6">
        <w:rPr>
          <w:rFonts w:ascii="Trebuchet MS" w:hAnsi="Trebuchet MS"/>
          <w:sz w:val="20"/>
          <w:szCs w:val="20"/>
        </w:rPr>
        <w:t>the Transfer</w:t>
      </w:r>
      <w:r w:rsidR="00315C85" w:rsidRPr="007337C6">
        <w:rPr>
          <w:rFonts w:ascii="Trebuchet MS" w:hAnsi="Trebuchet MS"/>
          <w:sz w:val="20"/>
          <w:szCs w:val="20"/>
        </w:rPr>
        <w:t xml:space="preserve">red policyholders of AGIL and LGI into AEI will not benefit for similar compensation scheme as the equivalent of the UK FSCS does not exist in the Netherlands. However, as this is only relevant in the event of insolvency of AEI, the risk is not significant as AEI is well capitalised with a solvency ratio </w:t>
      </w:r>
      <w:r w:rsidRPr="007337C6">
        <w:rPr>
          <w:rFonts w:ascii="Trebuchet MS" w:hAnsi="Trebuchet MS"/>
          <w:sz w:val="20"/>
          <w:szCs w:val="20"/>
        </w:rPr>
        <w:t>post-Transfer of 15</w:t>
      </w:r>
      <w:r w:rsidR="00287E7E">
        <w:rPr>
          <w:rFonts w:ascii="Trebuchet MS" w:hAnsi="Trebuchet MS"/>
          <w:sz w:val="20"/>
          <w:szCs w:val="20"/>
        </w:rPr>
        <w:t>3</w:t>
      </w:r>
      <w:r w:rsidRPr="007337C6">
        <w:rPr>
          <w:rFonts w:ascii="Trebuchet MS" w:hAnsi="Trebuchet MS"/>
          <w:sz w:val="20"/>
          <w:szCs w:val="20"/>
        </w:rPr>
        <w:t xml:space="preserve">% at 3Q20 (with </w:t>
      </w:r>
      <w:r w:rsidR="005E55C1">
        <w:rPr>
          <w:rFonts w:ascii="Trebuchet MS" w:hAnsi="Trebuchet MS"/>
          <w:sz w:val="20"/>
          <w:szCs w:val="20"/>
        </w:rPr>
        <w:t>COVID-19</w:t>
      </w:r>
      <w:r w:rsidRPr="007337C6">
        <w:rPr>
          <w:rFonts w:ascii="Trebuchet MS" w:hAnsi="Trebuchet MS"/>
          <w:sz w:val="20"/>
          <w:szCs w:val="20"/>
        </w:rPr>
        <w:t xml:space="preserve">), </w:t>
      </w:r>
      <w:r w:rsidR="00D52F35" w:rsidRPr="007337C6">
        <w:rPr>
          <w:rFonts w:ascii="Trebuchet MS" w:hAnsi="Trebuchet MS"/>
          <w:sz w:val="20"/>
          <w:szCs w:val="20"/>
        </w:rPr>
        <w:t xml:space="preserve">well </w:t>
      </w:r>
      <w:r w:rsidR="00B85077" w:rsidRPr="007337C6">
        <w:rPr>
          <w:rFonts w:ascii="Trebuchet MS" w:hAnsi="Trebuchet MS"/>
          <w:sz w:val="20"/>
          <w:szCs w:val="20"/>
        </w:rPr>
        <w:t xml:space="preserve">above </w:t>
      </w:r>
      <w:r w:rsidRPr="007337C6">
        <w:rPr>
          <w:rFonts w:ascii="Trebuchet MS" w:hAnsi="Trebuchet MS"/>
          <w:sz w:val="20"/>
          <w:szCs w:val="20"/>
        </w:rPr>
        <w:t xml:space="preserve">the target </w:t>
      </w:r>
      <w:r w:rsidR="00315C85" w:rsidRPr="007337C6">
        <w:rPr>
          <w:rFonts w:ascii="Trebuchet MS" w:hAnsi="Trebuchet MS"/>
          <w:sz w:val="20"/>
          <w:szCs w:val="20"/>
        </w:rPr>
        <w:t>140%</w:t>
      </w:r>
      <w:r w:rsidRPr="007337C6">
        <w:rPr>
          <w:rFonts w:ascii="Trebuchet MS" w:hAnsi="Trebuchet MS"/>
          <w:sz w:val="20"/>
          <w:szCs w:val="20"/>
        </w:rPr>
        <w:t xml:space="preserve">. AEI has </w:t>
      </w:r>
      <w:r w:rsidR="00315C85" w:rsidRPr="007337C6">
        <w:rPr>
          <w:rFonts w:ascii="Trebuchet MS" w:hAnsi="Trebuchet MS"/>
          <w:sz w:val="20"/>
          <w:szCs w:val="20"/>
        </w:rPr>
        <w:t>a solid risk management framework and strong governance.</w:t>
      </w:r>
    </w:p>
    <w:p w14:paraId="156B240E" w14:textId="5681EDBE" w:rsidR="00315C85" w:rsidRDefault="00315C85" w:rsidP="00397B1F">
      <w:pPr>
        <w:rPr>
          <w:rFonts w:ascii="Trebuchet MS" w:hAnsi="Trebuchet MS"/>
          <w:sz w:val="20"/>
          <w:szCs w:val="20"/>
        </w:rPr>
      </w:pPr>
      <w:r w:rsidRPr="007337C6">
        <w:rPr>
          <w:rFonts w:ascii="Trebuchet MS" w:hAnsi="Trebuchet MS"/>
          <w:sz w:val="20"/>
          <w:szCs w:val="20"/>
        </w:rPr>
        <w:t xml:space="preserve">In my opinion as the Chief </w:t>
      </w:r>
      <w:r w:rsidR="00512753" w:rsidRPr="007337C6">
        <w:rPr>
          <w:rFonts w:ascii="Trebuchet MS" w:hAnsi="Trebuchet MS"/>
          <w:sz w:val="20"/>
          <w:szCs w:val="20"/>
        </w:rPr>
        <w:t>A</w:t>
      </w:r>
      <w:r w:rsidRPr="007337C6">
        <w:rPr>
          <w:rFonts w:ascii="Trebuchet MS" w:hAnsi="Trebuchet MS"/>
          <w:sz w:val="20"/>
          <w:szCs w:val="20"/>
        </w:rPr>
        <w:t xml:space="preserve">ctuary, taking into account the impact of the Scheme on the solvency position of AGIL and LGI pre and </w:t>
      </w:r>
      <w:r w:rsidR="007B0679" w:rsidRPr="007337C6">
        <w:rPr>
          <w:rFonts w:ascii="Trebuchet MS" w:hAnsi="Trebuchet MS"/>
          <w:sz w:val="20"/>
          <w:szCs w:val="20"/>
        </w:rPr>
        <w:t>post-Transfer</w:t>
      </w:r>
      <w:r w:rsidRPr="007337C6">
        <w:rPr>
          <w:rFonts w:ascii="Trebuchet MS" w:hAnsi="Trebuchet MS"/>
          <w:sz w:val="20"/>
          <w:szCs w:val="20"/>
        </w:rPr>
        <w:t xml:space="preserve">, and the solvency position of AEI </w:t>
      </w:r>
      <w:r w:rsidR="007B0679" w:rsidRPr="007337C6">
        <w:rPr>
          <w:rFonts w:ascii="Trebuchet MS" w:hAnsi="Trebuchet MS"/>
          <w:sz w:val="20"/>
          <w:szCs w:val="20"/>
        </w:rPr>
        <w:t>post-</w:t>
      </w:r>
      <w:r w:rsidR="00DD51C1" w:rsidRPr="007337C6">
        <w:rPr>
          <w:rFonts w:ascii="Trebuchet MS" w:hAnsi="Trebuchet MS"/>
          <w:sz w:val="20"/>
          <w:szCs w:val="20"/>
        </w:rPr>
        <w:t xml:space="preserve">Transfer </w:t>
      </w:r>
      <w:r w:rsidRPr="007337C6">
        <w:rPr>
          <w:rFonts w:ascii="Trebuchet MS" w:hAnsi="Trebuchet MS"/>
          <w:sz w:val="20"/>
          <w:szCs w:val="20"/>
        </w:rPr>
        <w:t xml:space="preserve">as well as other considerations set out throughout this report, the implementation of the Scheme has no material adverse </w:t>
      </w:r>
      <w:r w:rsidR="0058421B" w:rsidRPr="007337C6">
        <w:rPr>
          <w:rFonts w:ascii="Trebuchet MS" w:hAnsi="Trebuchet MS"/>
          <w:sz w:val="20"/>
          <w:szCs w:val="20"/>
        </w:rPr>
        <w:t>effects</w:t>
      </w:r>
      <w:r w:rsidRPr="007337C6">
        <w:rPr>
          <w:rFonts w:ascii="Trebuchet MS" w:hAnsi="Trebuchet MS"/>
          <w:sz w:val="20"/>
          <w:szCs w:val="20"/>
        </w:rPr>
        <w:t xml:space="preserve"> for the policyholders of AGIL and LGI. In particular, I believe that the Scheme will at least maintain the security of benefits of all </w:t>
      </w:r>
      <w:r w:rsidR="00FA7CC1" w:rsidRPr="007337C6">
        <w:rPr>
          <w:rFonts w:ascii="Trebuchet MS" w:hAnsi="Trebuchet MS"/>
          <w:sz w:val="20"/>
          <w:szCs w:val="20"/>
        </w:rPr>
        <w:t>AGIL and LGI policyholders, whether transferring or non-transferring, and ensure that they continue to be treated fairly.</w:t>
      </w:r>
    </w:p>
    <w:p w14:paraId="518A71A2" w14:textId="77777777" w:rsidR="00EF5FD1" w:rsidRPr="007337C6" w:rsidRDefault="00EF5FD1" w:rsidP="00397B1F">
      <w:pPr>
        <w:rPr>
          <w:rFonts w:ascii="Trebuchet MS" w:hAnsi="Trebuchet MS"/>
        </w:rPr>
      </w:pPr>
    </w:p>
    <w:p w14:paraId="74E3DAE6" w14:textId="14F4A0F9" w:rsidR="0081487B" w:rsidRPr="007337C6" w:rsidRDefault="00B57C19" w:rsidP="00330D06">
      <w:pPr>
        <w:pStyle w:val="Heading1"/>
        <w:tabs>
          <w:tab w:val="left" w:pos="7011"/>
        </w:tabs>
        <w:ind w:left="360"/>
        <w:rPr>
          <w:color w:val="0070C0"/>
        </w:rPr>
      </w:pPr>
      <w:bookmarkStart w:id="119" w:name="_Toc52451902"/>
      <w:r w:rsidRPr="007337C6">
        <w:rPr>
          <w:color w:val="0070C0"/>
        </w:rPr>
        <w:t>Glossary</w:t>
      </w:r>
      <w:bookmarkEnd w:id="119"/>
      <w:r w:rsidR="00FA7CC1" w:rsidRPr="007337C6">
        <w:rPr>
          <w:color w:val="0070C0"/>
        </w:rPr>
        <w:tab/>
      </w:r>
    </w:p>
    <w:bookmarkEnd w:id="118"/>
    <w:p w14:paraId="2759558B" w14:textId="29338E70" w:rsidR="00A12CFA" w:rsidRPr="007337C6" w:rsidRDefault="00A12CFA" w:rsidP="00A12CFA">
      <w:pPr>
        <w:rPr>
          <w:rFonts w:ascii="Trebuchet MS" w:hAnsi="Trebuchet MS"/>
          <w:lang w:val="en-US"/>
        </w:rPr>
      </w:pPr>
    </w:p>
    <w:p w14:paraId="66549323" w14:textId="77777777" w:rsidR="005852A2" w:rsidRPr="007337C6" w:rsidRDefault="005852A2" w:rsidP="005852A2">
      <w:pPr>
        <w:pStyle w:val="ListParagraph"/>
        <w:numPr>
          <w:ilvl w:val="0"/>
          <w:numId w:val="36"/>
        </w:numPr>
        <w:rPr>
          <w:rFonts w:ascii="Trebuchet MS" w:hAnsi="Trebuchet MS"/>
          <w:sz w:val="20"/>
          <w:szCs w:val="20"/>
          <w:lang w:val="en-US"/>
        </w:rPr>
      </w:pPr>
      <w:bookmarkStart w:id="120" w:name="_Hlk37255340"/>
      <w:r w:rsidRPr="007337C6">
        <w:rPr>
          <w:rFonts w:ascii="Trebuchet MS" w:hAnsi="Trebuchet MS"/>
          <w:sz w:val="20"/>
          <w:szCs w:val="20"/>
          <w:lang w:val="en-US"/>
        </w:rPr>
        <w:t>AEI:  Assurant Europe Insurance N.V., the proposed non-life transferee established in Netherlands, part of the Assurant Inc. group</w:t>
      </w:r>
    </w:p>
    <w:p w14:paraId="559D9FA9" w14:textId="77777777" w:rsidR="005852A2" w:rsidRPr="007337C6" w:rsidRDefault="005852A2" w:rsidP="005852A2">
      <w:pPr>
        <w:pStyle w:val="ListParagraph"/>
        <w:numPr>
          <w:ilvl w:val="0"/>
          <w:numId w:val="36"/>
        </w:numPr>
        <w:rPr>
          <w:rFonts w:ascii="Trebuchet MS" w:hAnsi="Trebuchet MS"/>
          <w:sz w:val="20"/>
          <w:szCs w:val="20"/>
          <w:lang w:val="en-US"/>
        </w:rPr>
      </w:pPr>
      <w:r w:rsidRPr="007337C6">
        <w:rPr>
          <w:rFonts w:ascii="Trebuchet MS" w:hAnsi="Trebuchet MS"/>
          <w:sz w:val="20"/>
          <w:szCs w:val="20"/>
          <w:lang w:val="en-US"/>
        </w:rPr>
        <w:t>AGIL:</w:t>
      </w:r>
      <w:r w:rsidRPr="007337C6">
        <w:rPr>
          <w:rFonts w:ascii="Trebuchet MS" w:hAnsi="Trebuchet MS"/>
          <w:sz w:val="20"/>
          <w:szCs w:val="20"/>
        </w:rPr>
        <w:t xml:space="preserve"> </w:t>
      </w:r>
      <w:r w:rsidRPr="007337C6">
        <w:rPr>
          <w:rFonts w:ascii="Trebuchet MS" w:hAnsi="Trebuchet MS"/>
          <w:sz w:val="20"/>
          <w:szCs w:val="20"/>
          <w:lang w:val="en-US"/>
        </w:rPr>
        <w:t>Assurant General Insurance Limited, one of the non-life transferors’ companies within the group (Assurant Inc.)</w:t>
      </w:r>
    </w:p>
    <w:p w14:paraId="1B02F4CF" w14:textId="77777777" w:rsidR="005852A2" w:rsidRPr="007337C6" w:rsidRDefault="005852A2" w:rsidP="005852A2">
      <w:pPr>
        <w:pStyle w:val="ListParagraph"/>
        <w:numPr>
          <w:ilvl w:val="0"/>
          <w:numId w:val="36"/>
        </w:numPr>
        <w:rPr>
          <w:rFonts w:ascii="Trebuchet MS" w:hAnsi="Trebuchet MS"/>
          <w:sz w:val="20"/>
          <w:szCs w:val="20"/>
          <w:lang w:val="en-US"/>
        </w:rPr>
      </w:pPr>
      <w:r w:rsidRPr="007337C6">
        <w:rPr>
          <w:rFonts w:ascii="Trebuchet MS" w:hAnsi="Trebuchet MS"/>
          <w:sz w:val="20"/>
          <w:szCs w:val="20"/>
          <w:lang w:val="en-US"/>
        </w:rPr>
        <w:t xml:space="preserve">LGI: London General Insurance Limited, one of the non-life transferors’ companies within the group (Assurant Inc.) </w:t>
      </w:r>
    </w:p>
    <w:p w14:paraId="5B765794" w14:textId="77777777" w:rsidR="005852A2" w:rsidRPr="007337C6" w:rsidRDefault="005852A2" w:rsidP="005852A2">
      <w:pPr>
        <w:pStyle w:val="ListParagraph"/>
        <w:numPr>
          <w:ilvl w:val="0"/>
          <w:numId w:val="36"/>
        </w:numPr>
        <w:rPr>
          <w:rFonts w:ascii="Trebuchet MS" w:hAnsi="Trebuchet MS"/>
          <w:sz w:val="20"/>
          <w:szCs w:val="20"/>
          <w:lang w:val="en-US"/>
        </w:rPr>
      </w:pPr>
      <w:r w:rsidRPr="007337C6">
        <w:rPr>
          <w:rFonts w:ascii="Trebuchet MS" w:hAnsi="Trebuchet MS"/>
          <w:sz w:val="20"/>
          <w:szCs w:val="20"/>
          <w:lang w:val="en-US"/>
        </w:rPr>
        <w:t>AEL: Assurant Europe Life Insurance N.V., the proposed non-life transferee established in Netherlands, part of the Assurant Inc. group</w:t>
      </w:r>
    </w:p>
    <w:p w14:paraId="660AB350" w14:textId="60B06E58" w:rsidR="005852A2" w:rsidRDefault="005852A2" w:rsidP="005852A2">
      <w:pPr>
        <w:pStyle w:val="ListParagraph"/>
        <w:numPr>
          <w:ilvl w:val="0"/>
          <w:numId w:val="36"/>
        </w:numPr>
        <w:rPr>
          <w:rFonts w:ascii="Trebuchet MS" w:hAnsi="Trebuchet MS"/>
          <w:sz w:val="20"/>
          <w:szCs w:val="20"/>
          <w:lang w:val="en-US"/>
        </w:rPr>
      </w:pPr>
      <w:r w:rsidRPr="007337C6">
        <w:rPr>
          <w:rFonts w:ascii="Trebuchet MS" w:hAnsi="Trebuchet MS"/>
          <w:sz w:val="20"/>
          <w:szCs w:val="20"/>
          <w:lang w:val="en-US"/>
        </w:rPr>
        <w:t>ALL: Assurant Life Limited, one of the life transferors’ companies within the group (Assurant Inc.)</w:t>
      </w:r>
    </w:p>
    <w:p w14:paraId="6B8609FF" w14:textId="3418514C" w:rsidR="006C303A" w:rsidRPr="007337C6" w:rsidRDefault="006C303A" w:rsidP="005852A2">
      <w:pPr>
        <w:pStyle w:val="ListParagraph"/>
        <w:numPr>
          <w:ilvl w:val="0"/>
          <w:numId w:val="36"/>
        </w:numPr>
        <w:rPr>
          <w:rFonts w:ascii="Trebuchet MS" w:hAnsi="Trebuchet MS"/>
          <w:sz w:val="20"/>
          <w:szCs w:val="20"/>
          <w:lang w:val="en-US"/>
        </w:rPr>
      </w:pPr>
      <w:proofErr w:type="spellStart"/>
      <w:r>
        <w:rPr>
          <w:rFonts w:ascii="Trebuchet MS" w:hAnsi="Trebuchet MS"/>
          <w:sz w:val="20"/>
          <w:szCs w:val="20"/>
          <w:lang w:val="en-US"/>
        </w:rPr>
        <w:t>TWGE</w:t>
      </w:r>
      <w:proofErr w:type="spellEnd"/>
      <w:r>
        <w:rPr>
          <w:rFonts w:ascii="Trebuchet MS" w:hAnsi="Trebuchet MS"/>
          <w:sz w:val="20"/>
          <w:szCs w:val="20"/>
          <w:lang w:val="en-US"/>
        </w:rPr>
        <w:t>: The Warranty Group Europe, a group within Assurant group</w:t>
      </w:r>
    </w:p>
    <w:p w14:paraId="438DE924" w14:textId="77777777" w:rsidR="005852A2" w:rsidRPr="007337C6" w:rsidRDefault="005852A2" w:rsidP="005852A2">
      <w:pPr>
        <w:pStyle w:val="ListParagraph"/>
        <w:numPr>
          <w:ilvl w:val="0"/>
          <w:numId w:val="36"/>
        </w:numPr>
        <w:rPr>
          <w:rFonts w:ascii="Trebuchet MS" w:hAnsi="Trebuchet MS"/>
          <w:sz w:val="20"/>
          <w:szCs w:val="20"/>
          <w:lang w:val="en-US"/>
        </w:rPr>
      </w:pPr>
      <w:r w:rsidRPr="007337C6">
        <w:rPr>
          <w:rFonts w:ascii="Trebuchet MS" w:hAnsi="Trebuchet MS"/>
          <w:sz w:val="20"/>
          <w:szCs w:val="20"/>
          <w:lang w:val="en-US"/>
        </w:rPr>
        <w:t>LGL: London General Life Company Limited, one of the life transferors’ companies within the group (Assurant Inc.)</w:t>
      </w:r>
    </w:p>
    <w:p w14:paraId="3635E531" w14:textId="77777777" w:rsidR="005852A2" w:rsidRPr="007337C6" w:rsidRDefault="005852A2" w:rsidP="005852A2">
      <w:pPr>
        <w:pStyle w:val="ListParagraph"/>
        <w:numPr>
          <w:ilvl w:val="0"/>
          <w:numId w:val="36"/>
        </w:numPr>
        <w:rPr>
          <w:rFonts w:ascii="Trebuchet MS" w:hAnsi="Trebuchet MS"/>
          <w:sz w:val="20"/>
          <w:szCs w:val="20"/>
          <w:lang w:val="en-US"/>
        </w:rPr>
      </w:pPr>
      <w:r w:rsidRPr="007337C6">
        <w:rPr>
          <w:rFonts w:ascii="Trebuchet MS" w:hAnsi="Trebuchet MS"/>
          <w:sz w:val="20"/>
          <w:szCs w:val="20"/>
          <w:lang w:val="en-US"/>
        </w:rPr>
        <w:lastRenderedPageBreak/>
        <w:t>TAS: Technical Actuarial Standards are UK norms to promote high quality actuarial practice and the integrity, competence and transparency of the actuarial profession, to the benefit of all those who rely on actuarial advice.</w:t>
      </w:r>
    </w:p>
    <w:p w14:paraId="4CA65DD8" w14:textId="77777777" w:rsidR="005852A2" w:rsidRPr="007337C6" w:rsidRDefault="005852A2" w:rsidP="005852A2">
      <w:pPr>
        <w:pStyle w:val="ListParagraph"/>
        <w:numPr>
          <w:ilvl w:val="0"/>
          <w:numId w:val="36"/>
        </w:numPr>
        <w:rPr>
          <w:rFonts w:ascii="Trebuchet MS" w:hAnsi="Trebuchet MS"/>
          <w:sz w:val="20"/>
          <w:szCs w:val="20"/>
          <w:lang w:val="en-US"/>
        </w:rPr>
      </w:pPr>
      <w:proofErr w:type="spellStart"/>
      <w:r w:rsidRPr="007337C6">
        <w:rPr>
          <w:rFonts w:ascii="Trebuchet MS" w:hAnsi="Trebuchet MS"/>
          <w:sz w:val="20"/>
          <w:szCs w:val="20"/>
          <w:lang w:val="en-US"/>
        </w:rPr>
        <w:t>FRC</w:t>
      </w:r>
      <w:proofErr w:type="spellEnd"/>
      <w:r w:rsidRPr="007337C6">
        <w:rPr>
          <w:rFonts w:ascii="Trebuchet MS" w:hAnsi="Trebuchet MS"/>
          <w:sz w:val="20"/>
          <w:szCs w:val="20"/>
          <w:lang w:val="en-US"/>
        </w:rPr>
        <w:t>: Financial Reporting Council is responsible to set and maintain the TAS, and oversight the regulation of actuaries by the Faculty of Actuaries (</w:t>
      </w:r>
      <w:proofErr w:type="spellStart"/>
      <w:r w:rsidRPr="007337C6">
        <w:rPr>
          <w:rFonts w:ascii="Trebuchet MS" w:hAnsi="Trebuchet MS"/>
          <w:sz w:val="20"/>
          <w:szCs w:val="20"/>
          <w:lang w:val="en-US"/>
        </w:rPr>
        <w:t>IFoA</w:t>
      </w:r>
      <w:proofErr w:type="spellEnd"/>
      <w:r w:rsidRPr="007337C6">
        <w:rPr>
          <w:rFonts w:ascii="Trebuchet MS" w:hAnsi="Trebuchet MS"/>
          <w:sz w:val="20"/>
          <w:szCs w:val="20"/>
          <w:lang w:val="en-US"/>
        </w:rPr>
        <w:t xml:space="preserve">) </w:t>
      </w:r>
    </w:p>
    <w:p w14:paraId="256B0787" w14:textId="6DA211A8" w:rsidR="005852A2" w:rsidRPr="007337C6" w:rsidRDefault="005852A2" w:rsidP="005852A2">
      <w:pPr>
        <w:pStyle w:val="ListParagraph"/>
        <w:numPr>
          <w:ilvl w:val="0"/>
          <w:numId w:val="36"/>
        </w:numPr>
        <w:rPr>
          <w:rFonts w:ascii="Trebuchet MS" w:hAnsi="Trebuchet MS"/>
          <w:sz w:val="20"/>
          <w:szCs w:val="20"/>
          <w:lang w:val="en-US"/>
        </w:rPr>
      </w:pPr>
      <w:r w:rsidRPr="007337C6">
        <w:rPr>
          <w:rFonts w:ascii="Trebuchet MS" w:hAnsi="Trebuchet MS"/>
          <w:sz w:val="20"/>
          <w:szCs w:val="20"/>
          <w:lang w:val="en-US"/>
        </w:rPr>
        <w:t xml:space="preserve">FCA: </w:t>
      </w:r>
      <w:r w:rsidR="00CB00D4" w:rsidRPr="002802EA">
        <w:rPr>
          <w:rFonts w:ascii="Trebuchet MS" w:hAnsi="Trebuchet MS"/>
          <w:sz w:val="20"/>
          <w:szCs w:val="20"/>
          <w:lang w:val="en-US"/>
        </w:rPr>
        <w:t>The Financial Conduct Authority is the conduct regulator for nearly 60,000 financial services firms and financial markets in the UK and the prudential supervisor for 49,000 firms, setting specific standards for 19,000 firms.</w:t>
      </w:r>
    </w:p>
    <w:p w14:paraId="160C9AA4" w14:textId="77777777" w:rsidR="005852A2" w:rsidRPr="007337C6" w:rsidRDefault="005852A2" w:rsidP="005852A2">
      <w:pPr>
        <w:pStyle w:val="ListParagraph"/>
        <w:numPr>
          <w:ilvl w:val="0"/>
          <w:numId w:val="36"/>
        </w:numPr>
        <w:jc w:val="both"/>
        <w:rPr>
          <w:rFonts w:ascii="Trebuchet MS" w:hAnsi="Trebuchet MS"/>
          <w:sz w:val="20"/>
          <w:szCs w:val="20"/>
          <w:lang w:val="en-US"/>
        </w:rPr>
      </w:pPr>
      <w:r w:rsidRPr="007337C6">
        <w:rPr>
          <w:rFonts w:ascii="Trebuchet MS" w:hAnsi="Trebuchet MS"/>
          <w:sz w:val="20"/>
          <w:szCs w:val="20"/>
          <w:lang w:val="en-US"/>
        </w:rPr>
        <w:t>PRA: The Prudential Regulation Authority is the prudential regulator in UK of around 1,500 banks, building societies, credit unions, insurers and major investment firms. As a prudential regulator, it has a general objective to promote the safety and soundness of the firms it regulates.</w:t>
      </w:r>
    </w:p>
    <w:p w14:paraId="7C953BD3" w14:textId="77777777" w:rsidR="005852A2" w:rsidRPr="007337C6" w:rsidRDefault="005852A2" w:rsidP="005852A2">
      <w:pPr>
        <w:pStyle w:val="ListParagraph"/>
        <w:numPr>
          <w:ilvl w:val="0"/>
          <w:numId w:val="36"/>
        </w:numPr>
        <w:jc w:val="both"/>
        <w:rPr>
          <w:rFonts w:ascii="Trebuchet MS" w:hAnsi="Trebuchet MS"/>
          <w:sz w:val="20"/>
          <w:szCs w:val="20"/>
          <w:lang w:val="en-US"/>
        </w:rPr>
      </w:pPr>
      <w:r w:rsidRPr="007337C6">
        <w:rPr>
          <w:rFonts w:ascii="Trebuchet MS" w:hAnsi="Trebuchet MS"/>
          <w:sz w:val="20"/>
          <w:szCs w:val="20"/>
          <w:lang w:val="en-US"/>
        </w:rPr>
        <w:t>FSCS: Set-up by parliament and funded by the financial services industry in UK, FSCS is a completely independent and free service which protects customers funds when financial firms fail.</w:t>
      </w:r>
    </w:p>
    <w:p w14:paraId="0424FAFA" w14:textId="77777777" w:rsidR="005852A2" w:rsidRPr="007337C6" w:rsidRDefault="005852A2" w:rsidP="005852A2">
      <w:pPr>
        <w:pStyle w:val="ListParagraph"/>
        <w:numPr>
          <w:ilvl w:val="0"/>
          <w:numId w:val="36"/>
        </w:numPr>
        <w:jc w:val="both"/>
        <w:rPr>
          <w:rFonts w:ascii="Trebuchet MS" w:hAnsi="Trebuchet MS"/>
          <w:sz w:val="20"/>
          <w:szCs w:val="20"/>
          <w:lang w:val="en-US"/>
        </w:rPr>
      </w:pPr>
      <w:r w:rsidRPr="007337C6">
        <w:rPr>
          <w:rFonts w:ascii="Trebuchet MS" w:hAnsi="Trebuchet MS"/>
          <w:sz w:val="20"/>
          <w:szCs w:val="20"/>
          <w:lang w:val="en-US"/>
        </w:rPr>
        <w:t xml:space="preserve">DNB: De Nederlandsche Bank is the independent central bank, supervisory authority and resolution authority of Netherlands committed to a stable financial system: stable prices, solid financial institutions and properly functioning payment transfers. </w:t>
      </w:r>
    </w:p>
    <w:p w14:paraId="19BCFCE6" w14:textId="77777777" w:rsidR="005852A2" w:rsidRPr="007337C6" w:rsidRDefault="005852A2" w:rsidP="005852A2">
      <w:pPr>
        <w:pStyle w:val="ListParagraph"/>
        <w:numPr>
          <w:ilvl w:val="0"/>
          <w:numId w:val="36"/>
        </w:numPr>
        <w:jc w:val="both"/>
        <w:rPr>
          <w:rFonts w:ascii="Trebuchet MS" w:hAnsi="Trebuchet MS"/>
          <w:sz w:val="20"/>
          <w:szCs w:val="20"/>
          <w:lang w:val="en-US"/>
        </w:rPr>
      </w:pPr>
      <w:r w:rsidRPr="007337C6">
        <w:rPr>
          <w:rFonts w:ascii="Trebuchet MS" w:hAnsi="Trebuchet MS"/>
          <w:sz w:val="20"/>
          <w:szCs w:val="20"/>
          <w:lang w:val="en-US"/>
        </w:rPr>
        <w:t xml:space="preserve">Solvency II: It is the regulatory framework applied to all EU insurance and reinsurance companies with gross premium income exceeding €5 million or gross technical provisions in excess of €25 million. It became operative from 1 January 2016.                                                                                                                                                     </w:t>
      </w:r>
    </w:p>
    <w:p w14:paraId="023EC040" w14:textId="77777777" w:rsidR="005852A2" w:rsidRPr="007337C6" w:rsidRDefault="005852A2" w:rsidP="005852A2">
      <w:pPr>
        <w:pStyle w:val="ListParagraph"/>
        <w:jc w:val="both"/>
        <w:rPr>
          <w:rFonts w:ascii="Trebuchet MS" w:hAnsi="Trebuchet MS"/>
          <w:sz w:val="20"/>
          <w:szCs w:val="20"/>
          <w:lang w:val="en-US"/>
        </w:rPr>
      </w:pPr>
      <w:r w:rsidRPr="007337C6">
        <w:rPr>
          <w:rFonts w:ascii="Trebuchet MS" w:hAnsi="Trebuchet MS"/>
          <w:sz w:val="20"/>
          <w:szCs w:val="20"/>
          <w:lang w:val="en-US"/>
        </w:rPr>
        <w:t xml:space="preserve">The key objectives of Solvency II are to increase the level of </w:t>
      </w:r>
      <w:proofErr w:type="spellStart"/>
      <w:r w:rsidRPr="007337C6">
        <w:rPr>
          <w:rFonts w:ascii="Trebuchet MS" w:hAnsi="Trebuchet MS"/>
          <w:sz w:val="20"/>
          <w:szCs w:val="20"/>
          <w:lang w:val="en-US"/>
        </w:rPr>
        <w:t>harmonisation</w:t>
      </w:r>
      <w:proofErr w:type="spellEnd"/>
      <w:r w:rsidRPr="007337C6">
        <w:rPr>
          <w:rFonts w:ascii="Trebuchet MS" w:hAnsi="Trebuchet MS"/>
          <w:sz w:val="20"/>
          <w:szCs w:val="20"/>
          <w:lang w:val="en-US"/>
        </w:rPr>
        <w:t xml:space="preserve"> of solvency regulation across Europe, to protect policyholders, to introduce Europe-wide capital requirements that are more sensitive (than the previous minimum Solvency I requirements) to the levels of risk being undertaken, and to provide appropriate incentives for good risk management.</w:t>
      </w:r>
    </w:p>
    <w:p w14:paraId="3C620FAC" w14:textId="77777777" w:rsidR="005852A2" w:rsidRPr="007337C6" w:rsidRDefault="005852A2" w:rsidP="005852A2">
      <w:pPr>
        <w:pStyle w:val="ListParagraph"/>
        <w:numPr>
          <w:ilvl w:val="0"/>
          <w:numId w:val="36"/>
        </w:numPr>
        <w:jc w:val="both"/>
        <w:rPr>
          <w:rFonts w:ascii="Trebuchet MS" w:hAnsi="Trebuchet MS"/>
          <w:sz w:val="20"/>
          <w:szCs w:val="20"/>
          <w:lang w:val="en-US"/>
        </w:rPr>
      </w:pPr>
      <w:proofErr w:type="spellStart"/>
      <w:r w:rsidRPr="007337C6">
        <w:rPr>
          <w:rFonts w:ascii="Trebuchet MS" w:hAnsi="Trebuchet MS"/>
          <w:sz w:val="20"/>
          <w:szCs w:val="20"/>
          <w:lang w:val="en-US"/>
        </w:rPr>
        <w:t>MCR</w:t>
      </w:r>
      <w:proofErr w:type="spellEnd"/>
      <w:r w:rsidRPr="007337C6">
        <w:rPr>
          <w:rFonts w:ascii="Trebuchet MS" w:hAnsi="Trebuchet MS"/>
          <w:sz w:val="20"/>
          <w:szCs w:val="20"/>
          <w:lang w:val="en-US"/>
        </w:rPr>
        <w:t xml:space="preserve">: Minimum Capital Requirement is the capital requirement instituted by Solvency II. The </w:t>
      </w:r>
      <w:proofErr w:type="spellStart"/>
      <w:r w:rsidRPr="007337C6">
        <w:rPr>
          <w:rFonts w:ascii="Trebuchet MS" w:hAnsi="Trebuchet MS"/>
          <w:sz w:val="20"/>
          <w:szCs w:val="20"/>
          <w:lang w:val="en-US"/>
        </w:rPr>
        <w:t>MCR</w:t>
      </w:r>
      <w:proofErr w:type="spellEnd"/>
      <w:r w:rsidRPr="007337C6">
        <w:rPr>
          <w:rFonts w:ascii="Trebuchet MS" w:hAnsi="Trebuchet MS"/>
          <w:sz w:val="20"/>
          <w:szCs w:val="20"/>
          <w:lang w:val="en-US"/>
        </w:rPr>
        <w:t xml:space="preserve"> has a floor of 25% and a cap of 45% of the SCR, and There is an absolute minimum capital requirement (</w:t>
      </w:r>
      <w:proofErr w:type="spellStart"/>
      <w:r w:rsidRPr="007337C6">
        <w:rPr>
          <w:rFonts w:ascii="Trebuchet MS" w:hAnsi="Trebuchet MS"/>
          <w:sz w:val="20"/>
          <w:szCs w:val="20"/>
          <w:lang w:val="en-US"/>
        </w:rPr>
        <w:t>aMCR</w:t>
      </w:r>
      <w:proofErr w:type="spellEnd"/>
      <w:r w:rsidRPr="007337C6">
        <w:rPr>
          <w:rFonts w:ascii="Trebuchet MS" w:hAnsi="Trebuchet MS"/>
          <w:sz w:val="20"/>
          <w:szCs w:val="20"/>
          <w:lang w:val="en-US"/>
        </w:rPr>
        <w:t xml:space="preserve">) of €3.7m for life insurance companies (this floor is different for reinsurers and non-life insurers). The </w:t>
      </w:r>
      <w:proofErr w:type="spellStart"/>
      <w:r w:rsidRPr="007337C6">
        <w:rPr>
          <w:rFonts w:ascii="Trebuchet MS" w:hAnsi="Trebuchet MS"/>
          <w:sz w:val="20"/>
          <w:szCs w:val="20"/>
          <w:lang w:val="en-US"/>
        </w:rPr>
        <w:t>MCR</w:t>
      </w:r>
      <w:proofErr w:type="spellEnd"/>
      <w:r w:rsidRPr="007337C6">
        <w:rPr>
          <w:rFonts w:ascii="Trebuchet MS" w:hAnsi="Trebuchet MS"/>
          <w:sz w:val="20"/>
          <w:szCs w:val="20"/>
          <w:lang w:val="en-US"/>
        </w:rPr>
        <w:t xml:space="preserve"> is the ultimate point of supervisory intervention, below which the company would lose its authorisation.</w:t>
      </w:r>
    </w:p>
    <w:p w14:paraId="19000AB6" w14:textId="77777777" w:rsidR="005852A2" w:rsidRPr="007337C6" w:rsidRDefault="005852A2" w:rsidP="005852A2">
      <w:pPr>
        <w:pStyle w:val="ListParagraph"/>
        <w:numPr>
          <w:ilvl w:val="0"/>
          <w:numId w:val="36"/>
        </w:numPr>
        <w:jc w:val="both"/>
        <w:rPr>
          <w:rFonts w:ascii="Trebuchet MS" w:hAnsi="Trebuchet MS"/>
          <w:sz w:val="20"/>
          <w:szCs w:val="20"/>
          <w:lang w:val="en-US"/>
        </w:rPr>
      </w:pPr>
      <w:proofErr w:type="spellStart"/>
      <w:r w:rsidRPr="007337C6">
        <w:rPr>
          <w:rFonts w:ascii="Trebuchet MS" w:hAnsi="Trebuchet MS"/>
          <w:sz w:val="20"/>
          <w:szCs w:val="20"/>
          <w:lang w:val="en-US"/>
        </w:rPr>
        <w:t>TP</w:t>
      </w:r>
      <w:proofErr w:type="spellEnd"/>
      <w:r w:rsidRPr="007337C6">
        <w:rPr>
          <w:rFonts w:ascii="Trebuchet MS" w:hAnsi="Trebuchet MS"/>
          <w:sz w:val="20"/>
          <w:szCs w:val="20"/>
          <w:lang w:val="en-US"/>
        </w:rPr>
        <w:t>: Technical Provisions represent the amount that an insurer requires to fulfil its insurance obligations and settle all expected commitments to policyholders and other beneficiaries arising over the lifetime of the insurer's portfolio of insurance contracts.</w:t>
      </w:r>
    </w:p>
    <w:bookmarkEnd w:id="120"/>
    <w:p w14:paraId="5621A1EB" w14:textId="1E33D76D" w:rsidR="001E3400" w:rsidRDefault="001E3400">
      <w:pPr>
        <w:rPr>
          <w:rFonts w:ascii="Trebuchet MS" w:hAnsi="Trebuchet MS"/>
          <w:sz w:val="20"/>
          <w:szCs w:val="20"/>
          <w:lang w:val="en-US"/>
        </w:rPr>
      </w:pPr>
    </w:p>
    <w:p w14:paraId="45DC208D" w14:textId="28D9A4A7" w:rsidR="001E3400" w:rsidRDefault="001E3400">
      <w:pPr>
        <w:rPr>
          <w:rFonts w:ascii="Trebuchet MS" w:hAnsi="Trebuchet MS"/>
          <w:sz w:val="20"/>
          <w:szCs w:val="20"/>
          <w:lang w:val="en-US"/>
        </w:rPr>
      </w:pPr>
    </w:p>
    <w:p w14:paraId="408E75EE" w14:textId="344F0E71" w:rsidR="001E3400" w:rsidRDefault="001E3400">
      <w:pPr>
        <w:rPr>
          <w:rFonts w:ascii="Trebuchet MS" w:hAnsi="Trebuchet MS"/>
          <w:sz w:val="20"/>
          <w:szCs w:val="20"/>
          <w:lang w:val="en-US"/>
        </w:rPr>
      </w:pPr>
    </w:p>
    <w:p w14:paraId="57E9DCDE" w14:textId="41CB05FE" w:rsidR="001E3400" w:rsidRDefault="001E3400">
      <w:pPr>
        <w:rPr>
          <w:rFonts w:ascii="Trebuchet MS" w:hAnsi="Trebuchet MS"/>
          <w:sz w:val="20"/>
          <w:szCs w:val="20"/>
          <w:lang w:val="en-US"/>
        </w:rPr>
      </w:pPr>
    </w:p>
    <w:p w14:paraId="24B1B6D8" w14:textId="50C04094" w:rsidR="001E3400" w:rsidRDefault="001E3400">
      <w:pPr>
        <w:rPr>
          <w:rFonts w:ascii="Trebuchet MS" w:hAnsi="Trebuchet MS"/>
          <w:sz w:val="20"/>
          <w:szCs w:val="20"/>
          <w:lang w:val="en-US"/>
        </w:rPr>
      </w:pPr>
    </w:p>
    <w:p w14:paraId="7A7A4BDF" w14:textId="40BDAF9C" w:rsidR="001E3400" w:rsidRDefault="001E3400">
      <w:pPr>
        <w:rPr>
          <w:rFonts w:ascii="Trebuchet MS" w:hAnsi="Trebuchet MS"/>
          <w:sz w:val="20"/>
          <w:szCs w:val="20"/>
          <w:lang w:val="en-US"/>
        </w:rPr>
      </w:pPr>
    </w:p>
    <w:p w14:paraId="4806C86A" w14:textId="4743750E" w:rsidR="001E3400" w:rsidRDefault="001E3400">
      <w:pPr>
        <w:rPr>
          <w:rFonts w:ascii="Trebuchet MS" w:hAnsi="Trebuchet MS"/>
          <w:sz w:val="20"/>
          <w:szCs w:val="20"/>
          <w:lang w:val="en-US"/>
        </w:rPr>
      </w:pPr>
    </w:p>
    <w:sectPr w:rsidR="001E3400" w:rsidSect="008443F4">
      <w:footerReference w:type="default" r:id="rId16"/>
      <w:pgSz w:w="11906" w:h="16838"/>
      <w:pgMar w:top="720" w:right="720" w:bottom="720" w:left="720" w:header="709" w:footer="709" w:gutter="0"/>
      <w:pgBorders w:offsetFrom="page">
        <w:top w:val="single" w:sz="8" w:space="24" w:color="808080" w:themeColor="background1" w:themeShade="80"/>
        <w:left w:val="single" w:sz="8" w:space="24" w:color="808080" w:themeColor="background1" w:themeShade="80"/>
        <w:bottom w:val="single" w:sz="8" w:space="24" w:color="808080" w:themeColor="background1" w:themeShade="80"/>
        <w:right w:val="single" w:sz="8" w:space="24" w:color="808080" w:themeColor="background1" w:themeShade="8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4C392" w14:textId="77777777" w:rsidR="00570697" w:rsidRDefault="00570697" w:rsidP="00420677">
      <w:pPr>
        <w:spacing w:after="0" w:line="240" w:lineRule="auto"/>
      </w:pPr>
      <w:r>
        <w:separator/>
      </w:r>
    </w:p>
  </w:endnote>
  <w:endnote w:type="continuationSeparator" w:id="0">
    <w:p w14:paraId="5A1B07BD" w14:textId="77777777" w:rsidR="00570697" w:rsidRDefault="00570697" w:rsidP="00420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altName w:val="Segoe UI"/>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A297A" w14:textId="6D8D2F5E" w:rsidR="00082924" w:rsidRPr="00A12CFA" w:rsidRDefault="00082924">
    <w:pPr>
      <w:pStyle w:val="Footer"/>
      <w:jc w:val="right"/>
      <w:rPr>
        <w:sz w:val="16"/>
        <w:szCs w:val="16"/>
      </w:rPr>
    </w:pPr>
    <w:r>
      <w:rPr>
        <w:b/>
        <w:bCs/>
        <w:color w:val="0070C0"/>
        <w:sz w:val="16"/>
        <w:szCs w:val="16"/>
      </w:rPr>
      <w:t>Actuarial Function Supplementary Report for the assessment of the Part VII Transfer to AEI</w:t>
    </w:r>
    <w:sdt>
      <w:sdtPr>
        <w:rPr>
          <w:sz w:val="16"/>
          <w:szCs w:val="16"/>
        </w:rPr>
        <w:id w:val="-311093463"/>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Pr>
                <w:sz w:val="16"/>
                <w:szCs w:val="16"/>
              </w:rPr>
              <w:t xml:space="preserve"> </w:t>
            </w:r>
            <w:r w:rsidRPr="00A12CFA">
              <w:rPr>
                <w:sz w:val="16"/>
                <w:szCs w:val="16"/>
              </w:rPr>
              <w:t xml:space="preserve">Page </w:t>
            </w:r>
            <w:r w:rsidRPr="00A12CFA">
              <w:rPr>
                <w:b/>
                <w:bCs/>
                <w:sz w:val="16"/>
                <w:szCs w:val="16"/>
              </w:rPr>
              <w:fldChar w:fldCharType="begin"/>
            </w:r>
            <w:r w:rsidRPr="00A12CFA">
              <w:rPr>
                <w:b/>
                <w:bCs/>
                <w:sz w:val="16"/>
                <w:szCs w:val="16"/>
              </w:rPr>
              <w:instrText xml:space="preserve"> PAGE </w:instrText>
            </w:r>
            <w:r w:rsidRPr="00A12CFA">
              <w:rPr>
                <w:b/>
                <w:bCs/>
                <w:sz w:val="16"/>
                <w:szCs w:val="16"/>
              </w:rPr>
              <w:fldChar w:fldCharType="separate"/>
            </w:r>
            <w:r w:rsidR="009D457A">
              <w:rPr>
                <w:b/>
                <w:bCs/>
                <w:noProof/>
                <w:sz w:val="16"/>
                <w:szCs w:val="16"/>
              </w:rPr>
              <w:t>2</w:t>
            </w:r>
            <w:r w:rsidRPr="00A12CFA">
              <w:rPr>
                <w:b/>
                <w:bCs/>
                <w:sz w:val="16"/>
                <w:szCs w:val="16"/>
              </w:rPr>
              <w:fldChar w:fldCharType="end"/>
            </w:r>
            <w:r w:rsidRPr="00A12CFA">
              <w:rPr>
                <w:sz w:val="16"/>
                <w:szCs w:val="16"/>
              </w:rPr>
              <w:t xml:space="preserve"> of </w:t>
            </w:r>
            <w:r w:rsidRPr="00A12CFA">
              <w:rPr>
                <w:b/>
                <w:bCs/>
                <w:sz w:val="16"/>
                <w:szCs w:val="16"/>
              </w:rPr>
              <w:fldChar w:fldCharType="begin"/>
            </w:r>
            <w:r w:rsidRPr="00A12CFA">
              <w:rPr>
                <w:b/>
                <w:bCs/>
                <w:sz w:val="16"/>
                <w:szCs w:val="16"/>
              </w:rPr>
              <w:instrText xml:space="preserve"> NUMPAGES  </w:instrText>
            </w:r>
            <w:r w:rsidRPr="00A12CFA">
              <w:rPr>
                <w:b/>
                <w:bCs/>
                <w:sz w:val="16"/>
                <w:szCs w:val="16"/>
              </w:rPr>
              <w:fldChar w:fldCharType="separate"/>
            </w:r>
            <w:r w:rsidR="009D457A">
              <w:rPr>
                <w:b/>
                <w:bCs/>
                <w:noProof/>
                <w:sz w:val="16"/>
                <w:szCs w:val="16"/>
              </w:rPr>
              <w:t>23</w:t>
            </w:r>
            <w:r w:rsidRPr="00A12CFA">
              <w:rPr>
                <w:b/>
                <w:bCs/>
                <w:sz w:val="16"/>
                <w:szCs w:val="16"/>
              </w:rPr>
              <w:fldChar w:fldCharType="end"/>
            </w:r>
          </w:sdtContent>
        </w:sdt>
      </w:sdtContent>
    </w:sdt>
  </w:p>
  <w:p w14:paraId="20AFFFCC" w14:textId="77777777" w:rsidR="00082924" w:rsidRDefault="000829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7C246" w14:textId="77777777" w:rsidR="00570697" w:rsidRDefault="00570697" w:rsidP="00420677">
      <w:pPr>
        <w:spacing w:after="0" w:line="240" w:lineRule="auto"/>
      </w:pPr>
      <w:r>
        <w:separator/>
      </w:r>
    </w:p>
  </w:footnote>
  <w:footnote w:type="continuationSeparator" w:id="0">
    <w:p w14:paraId="1FF48CD5" w14:textId="77777777" w:rsidR="00570697" w:rsidRDefault="00570697" w:rsidP="00420677">
      <w:pPr>
        <w:spacing w:after="0" w:line="240" w:lineRule="auto"/>
      </w:pPr>
      <w:r>
        <w:continuationSeparator/>
      </w:r>
    </w:p>
  </w:footnote>
  <w:footnote w:id="1">
    <w:p w14:paraId="1762333A" w14:textId="777DA3F2" w:rsidR="00082924" w:rsidRPr="00014588" w:rsidRDefault="00082924">
      <w:pPr>
        <w:pStyle w:val="FootnoteText"/>
        <w:rPr>
          <w:rFonts w:ascii="Trebuchet MS" w:hAnsi="Trebuchet MS"/>
          <w:sz w:val="16"/>
          <w:szCs w:val="16"/>
          <w:lang w:val="en-US"/>
        </w:rPr>
      </w:pPr>
      <w:r w:rsidRPr="00014588">
        <w:rPr>
          <w:rStyle w:val="FootnoteReference"/>
          <w:rFonts w:ascii="Trebuchet MS" w:hAnsi="Trebuchet MS"/>
          <w:sz w:val="16"/>
          <w:szCs w:val="16"/>
        </w:rPr>
        <w:footnoteRef/>
      </w:r>
      <w:r w:rsidRPr="00014588">
        <w:rPr>
          <w:rFonts w:ascii="Trebuchet MS" w:hAnsi="Trebuchet MS"/>
          <w:sz w:val="16"/>
          <w:szCs w:val="16"/>
        </w:rPr>
        <w:t xml:space="preserve"> </w:t>
      </w:r>
      <w:r w:rsidRPr="00014588">
        <w:rPr>
          <w:rFonts w:ascii="Trebuchet MS" w:hAnsi="Trebuchet MS"/>
          <w:sz w:val="16"/>
          <w:szCs w:val="16"/>
          <w:lang w:val="en-US"/>
        </w:rPr>
        <w:t>The report issued by the Actuarial Function on 18/06/2020 is referred to as first report or initial report throughout the present supplementary report.</w:t>
      </w:r>
    </w:p>
  </w:footnote>
  <w:footnote w:id="2">
    <w:p w14:paraId="680AF54F" w14:textId="2F21851C" w:rsidR="00082924" w:rsidRPr="00014588" w:rsidRDefault="00082924">
      <w:pPr>
        <w:pStyle w:val="FootnoteText"/>
        <w:rPr>
          <w:rFonts w:ascii="Trebuchet MS" w:hAnsi="Trebuchet MS"/>
          <w:sz w:val="16"/>
          <w:szCs w:val="16"/>
          <w:lang w:val="en-US"/>
        </w:rPr>
      </w:pPr>
      <w:r w:rsidRPr="00014588">
        <w:rPr>
          <w:rStyle w:val="FootnoteReference"/>
          <w:rFonts w:ascii="Trebuchet MS" w:hAnsi="Trebuchet MS"/>
          <w:sz w:val="16"/>
          <w:szCs w:val="16"/>
        </w:rPr>
        <w:footnoteRef/>
      </w:r>
      <w:r w:rsidRPr="00014588">
        <w:rPr>
          <w:rFonts w:ascii="Trebuchet MS" w:hAnsi="Trebuchet MS"/>
          <w:sz w:val="16"/>
          <w:szCs w:val="16"/>
        </w:rPr>
        <w:t xml:space="preserve"> </w:t>
      </w:r>
      <w:r w:rsidRPr="00014588">
        <w:rPr>
          <w:rFonts w:ascii="Trebuchet MS" w:hAnsi="Trebuchet MS"/>
          <w:sz w:val="16"/>
          <w:szCs w:val="16"/>
          <w:lang w:val="en-US"/>
        </w:rPr>
        <w:t xml:space="preserve">We also use the term “Transfer” to refer to the Part VII Transfer of AGIL and LGI to AEI; thus, sometimes the terms “Scheme” and “Transfer” are used interchangeably in this report. </w:t>
      </w:r>
    </w:p>
  </w:footnote>
  <w:footnote w:id="3">
    <w:p w14:paraId="48F44139" w14:textId="3C1DADAC" w:rsidR="00082924" w:rsidRPr="006C5658" w:rsidRDefault="00082924">
      <w:pPr>
        <w:pStyle w:val="FootnoteText"/>
        <w:rPr>
          <w:lang w:val="en-US"/>
        </w:rPr>
      </w:pPr>
      <w:r w:rsidRPr="00014588">
        <w:rPr>
          <w:rStyle w:val="FootnoteReference"/>
          <w:rFonts w:ascii="Trebuchet MS" w:hAnsi="Trebuchet MS"/>
          <w:sz w:val="16"/>
          <w:szCs w:val="16"/>
        </w:rPr>
        <w:footnoteRef/>
      </w:r>
      <w:r w:rsidRPr="00014588">
        <w:rPr>
          <w:rFonts w:ascii="Trebuchet MS" w:hAnsi="Trebuchet MS"/>
          <w:sz w:val="16"/>
          <w:szCs w:val="16"/>
        </w:rPr>
        <w:t xml:space="preserve"> </w:t>
      </w:r>
      <w:r w:rsidRPr="00014588">
        <w:rPr>
          <w:rFonts w:ascii="Trebuchet MS" w:hAnsi="Trebuchet MS"/>
          <w:sz w:val="16"/>
          <w:szCs w:val="16"/>
          <w:lang w:val="en-US"/>
        </w:rPr>
        <w:t>The audit on the YE19 results was ongoing when the initial report was written. There have been few changes from the YE19 numbers in the initial report as the audit finalized. The YE19 numbers in this supplementary report are consistent with the final audited YE19 results.</w:t>
      </w:r>
    </w:p>
  </w:footnote>
  <w:footnote w:id="4">
    <w:p w14:paraId="558FEDFF" w14:textId="6EF80A24" w:rsidR="00082924" w:rsidRPr="006C51A9" w:rsidRDefault="00082924">
      <w:pPr>
        <w:pStyle w:val="FootnoteText"/>
        <w:rPr>
          <w:lang w:val="en-US"/>
        </w:rPr>
      </w:pPr>
      <w:r>
        <w:rPr>
          <w:rStyle w:val="FootnoteReference"/>
        </w:rPr>
        <w:footnoteRef/>
      </w:r>
      <w:r>
        <w:t xml:space="preserve"> </w:t>
      </w:r>
      <w:r w:rsidRPr="00ED58A9">
        <w:rPr>
          <w:rFonts w:ascii="Trebuchet MS" w:hAnsi="Trebuchet MS"/>
          <w:sz w:val="16"/>
          <w:szCs w:val="16"/>
        </w:rPr>
        <w:t xml:space="preserve">Throughout this report and in the initial report, when we mention dividend payment from LGI to AEI, it should be understood as LGI </w:t>
      </w:r>
      <w:r>
        <w:rPr>
          <w:rFonts w:ascii="Trebuchet MS" w:hAnsi="Trebuchet MS"/>
          <w:sz w:val="16"/>
          <w:szCs w:val="16"/>
        </w:rPr>
        <w:t>has</w:t>
      </w:r>
      <w:r w:rsidRPr="00ED58A9">
        <w:rPr>
          <w:rFonts w:ascii="Trebuchet MS" w:hAnsi="Trebuchet MS"/>
          <w:sz w:val="16"/>
          <w:szCs w:val="16"/>
        </w:rPr>
        <w:t xml:space="preserve"> declare</w:t>
      </w:r>
      <w:r>
        <w:rPr>
          <w:rFonts w:ascii="Trebuchet MS" w:hAnsi="Trebuchet MS"/>
          <w:sz w:val="16"/>
          <w:szCs w:val="16"/>
        </w:rPr>
        <w:t>d</w:t>
      </w:r>
      <w:r w:rsidRPr="00ED58A9">
        <w:rPr>
          <w:rFonts w:ascii="Trebuchet MS" w:hAnsi="Trebuchet MS"/>
          <w:sz w:val="16"/>
          <w:szCs w:val="16"/>
        </w:rPr>
        <w:t xml:space="preserve"> and pa</w:t>
      </w:r>
      <w:r>
        <w:rPr>
          <w:rFonts w:ascii="Trebuchet MS" w:hAnsi="Trebuchet MS"/>
          <w:sz w:val="16"/>
          <w:szCs w:val="16"/>
        </w:rPr>
        <w:t>id</w:t>
      </w:r>
      <w:r w:rsidRPr="00ED58A9">
        <w:rPr>
          <w:rFonts w:ascii="Trebuchet MS" w:hAnsi="Trebuchet MS"/>
          <w:sz w:val="16"/>
          <w:szCs w:val="16"/>
        </w:rPr>
        <w:t xml:space="preserve"> dividends to </w:t>
      </w:r>
      <w:proofErr w:type="spellStart"/>
      <w:r w:rsidRPr="00ED58A9">
        <w:rPr>
          <w:rFonts w:ascii="Trebuchet MS" w:hAnsi="Trebuchet MS"/>
          <w:sz w:val="16"/>
          <w:szCs w:val="16"/>
        </w:rPr>
        <w:t>TWGE</w:t>
      </w:r>
      <w:proofErr w:type="spellEnd"/>
      <w:r w:rsidRPr="00ED58A9">
        <w:rPr>
          <w:rFonts w:ascii="Trebuchet MS" w:hAnsi="Trebuchet MS"/>
          <w:sz w:val="16"/>
          <w:szCs w:val="16"/>
        </w:rPr>
        <w:t xml:space="preserve"> which then ma</w:t>
      </w:r>
      <w:r>
        <w:rPr>
          <w:rFonts w:ascii="Trebuchet MS" w:hAnsi="Trebuchet MS"/>
          <w:sz w:val="16"/>
          <w:szCs w:val="16"/>
        </w:rPr>
        <w:t>d</w:t>
      </w:r>
      <w:r w:rsidRPr="00ED58A9">
        <w:rPr>
          <w:rFonts w:ascii="Trebuchet MS" w:hAnsi="Trebuchet MS"/>
          <w:sz w:val="16"/>
          <w:szCs w:val="16"/>
        </w:rPr>
        <w:t>e capital contributions to AEI/AEL as the shareholder.</w:t>
      </w:r>
    </w:p>
  </w:footnote>
  <w:footnote w:id="5">
    <w:p w14:paraId="6B11C6F5" w14:textId="514F80F4" w:rsidR="00082924" w:rsidRPr="00014588" w:rsidRDefault="00082924" w:rsidP="001B4EF7">
      <w:pPr>
        <w:pStyle w:val="FootnoteText"/>
        <w:rPr>
          <w:rFonts w:ascii="Trebuchet MS" w:hAnsi="Trebuchet MS"/>
          <w:sz w:val="16"/>
          <w:szCs w:val="16"/>
          <w:lang w:val="en-US"/>
        </w:rPr>
      </w:pPr>
      <w:r w:rsidRPr="00ED58A9">
        <w:rPr>
          <w:rStyle w:val="FootnoteReference"/>
          <w:rFonts w:ascii="Trebuchet MS" w:hAnsi="Trebuchet MS"/>
          <w:sz w:val="16"/>
          <w:szCs w:val="16"/>
        </w:rPr>
        <w:footnoteRef/>
      </w:r>
      <w:r w:rsidRPr="00ED58A9">
        <w:rPr>
          <w:rFonts w:ascii="Trebuchet MS" w:hAnsi="Trebuchet MS"/>
          <w:sz w:val="16"/>
          <w:szCs w:val="16"/>
        </w:rPr>
        <w:t xml:space="preserve"> </w:t>
      </w:r>
      <w:r w:rsidRPr="00ED58A9">
        <w:rPr>
          <w:rFonts w:ascii="Trebuchet MS" w:hAnsi="Trebuchet MS"/>
          <w:sz w:val="16"/>
          <w:szCs w:val="16"/>
          <w:lang w:val="en-US"/>
        </w:rPr>
        <w:t>The actual Transfer will take place on 2 November 2020. However, we have performed an assessment of the Transfer on a “as-if” basis</w:t>
      </w:r>
      <w:r w:rsidRPr="00014588">
        <w:rPr>
          <w:rFonts w:ascii="Trebuchet MS" w:hAnsi="Trebuchet MS"/>
          <w:sz w:val="16"/>
          <w:szCs w:val="16"/>
          <w:lang w:val="en-US"/>
        </w:rPr>
        <w:t xml:space="preserve"> at YE19 as this is the last date of public and audited financial results. We have also included the</w:t>
      </w:r>
      <w:r>
        <w:rPr>
          <w:rFonts w:ascii="Trebuchet MS" w:hAnsi="Trebuchet MS"/>
          <w:sz w:val="16"/>
          <w:szCs w:val="16"/>
          <w:lang w:val="en-US"/>
        </w:rPr>
        <w:t xml:space="preserve"> as-if</w:t>
      </w:r>
      <w:r w:rsidRPr="00014588">
        <w:rPr>
          <w:rFonts w:ascii="Trebuchet MS" w:hAnsi="Trebuchet MS"/>
          <w:sz w:val="16"/>
          <w:szCs w:val="16"/>
          <w:lang w:val="en-US"/>
        </w:rPr>
        <w:t xml:space="preserve"> 2Q20 position in the supplementary report.</w:t>
      </w:r>
    </w:p>
  </w:footnote>
  <w:footnote w:id="6">
    <w:p w14:paraId="240A9BD8" w14:textId="3B947B8F" w:rsidR="00082924" w:rsidRPr="00F84A6A" w:rsidRDefault="00082924" w:rsidP="001B4EF7">
      <w:pPr>
        <w:pStyle w:val="FootnoteText"/>
        <w:rPr>
          <w:lang w:val="en-US"/>
        </w:rPr>
      </w:pPr>
      <w:r w:rsidRPr="00014588">
        <w:rPr>
          <w:rStyle w:val="FootnoteReference"/>
          <w:rFonts w:ascii="Trebuchet MS" w:hAnsi="Trebuchet MS"/>
          <w:sz w:val="16"/>
          <w:szCs w:val="16"/>
        </w:rPr>
        <w:footnoteRef/>
      </w:r>
      <w:r w:rsidRPr="00014588">
        <w:rPr>
          <w:rFonts w:ascii="Trebuchet MS" w:hAnsi="Trebuchet MS"/>
          <w:sz w:val="16"/>
          <w:szCs w:val="16"/>
        </w:rPr>
        <w:t xml:space="preserve"> </w:t>
      </w:r>
      <w:r w:rsidRPr="00014588">
        <w:rPr>
          <w:rFonts w:ascii="Trebuchet MS" w:hAnsi="Trebuchet MS"/>
          <w:sz w:val="16"/>
          <w:szCs w:val="16"/>
          <w:lang w:val="en-US"/>
        </w:rPr>
        <w:t>We have done an assessment of the financial position of the Transfer at 30 September 2020 (3Q20), as this is the last quarter before the actual Transfer.</w:t>
      </w:r>
    </w:p>
  </w:footnote>
  <w:footnote w:id="7">
    <w:p w14:paraId="0C54EC45" w14:textId="2D58D493" w:rsidR="00082924" w:rsidRPr="003A51BF" w:rsidRDefault="00082924">
      <w:pPr>
        <w:pStyle w:val="FootnoteText"/>
        <w:rPr>
          <w:rFonts w:ascii="Trebuchet MS" w:hAnsi="Trebuchet MS"/>
          <w:sz w:val="16"/>
          <w:szCs w:val="16"/>
          <w:lang w:val="en-US"/>
        </w:rPr>
      </w:pPr>
      <w:r w:rsidRPr="003A51BF">
        <w:rPr>
          <w:rStyle w:val="FootnoteReference"/>
          <w:rFonts w:ascii="Trebuchet MS" w:hAnsi="Trebuchet MS"/>
          <w:sz w:val="16"/>
          <w:szCs w:val="16"/>
        </w:rPr>
        <w:footnoteRef/>
      </w:r>
      <w:r w:rsidRPr="003A51BF">
        <w:rPr>
          <w:rFonts w:ascii="Trebuchet MS" w:hAnsi="Trebuchet MS"/>
          <w:sz w:val="16"/>
          <w:szCs w:val="16"/>
        </w:rPr>
        <w:t xml:space="preserve"> 2Q20 and 3Q20 balance sheets are not shown in this report for parsimony, as the YE19 position is the anchor point, as audited financials</w:t>
      </w:r>
    </w:p>
  </w:footnote>
  <w:footnote w:id="8">
    <w:p w14:paraId="6CFA61E7" w14:textId="1055BD08" w:rsidR="00082924" w:rsidRPr="00014588" w:rsidRDefault="00082924">
      <w:pPr>
        <w:pStyle w:val="FootnoteText"/>
        <w:rPr>
          <w:rFonts w:ascii="Trebuchet MS" w:hAnsi="Trebuchet MS"/>
          <w:sz w:val="16"/>
          <w:szCs w:val="16"/>
          <w:lang w:val="en-US"/>
        </w:rPr>
      </w:pPr>
      <w:r w:rsidRPr="003A51BF">
        <w:rPr>
          <w:rStyle w:val="FootnoteReference"/>
          <w:rFonts w:ascii="Trebuchet MS" w:hAnsi="Trebuchet MS"/>
          <w:sz w:val="16"/>
          <w:szCs w:val="16"/>
        </w:rPr>
        <w:footnoteRef/>
      </w:r>
      <w:r w:rsidRPr="003A51BF">
        <w:rPr>
          <w:rFonts w:ascii="Trebuchet MS" w:hAnsi="Trebuchet MS"/>
          <w:sz w:val="16"/>
          <w:szCs w:val="16"/>
        </w:rPr>
        <w:t xml:space="preserve"> </w:t>
      </w:r>
      <w:r w:rsidRPr="003A51BF">
        <w:rPr>
          <w:rFonts w:ascii="Trebuchet MS" w:hAnsi="Trebuchet MS"/>
          <w:sz w:val="16"/>
          <w:szCs w:val="16"/>
          <w:lang w:val="en-US"/>
        </w:rPr>
        <w:t xml:space="preserve">Note that the dividend payment from LGI has increased when compared to the initial report. </w:t>
      </w:r>
      <w:r w:rsidRPr="003A51BF">
        <w:rPr>
          <w:rFonts w:ascii="Trebuchet MS" w:hAnsi="Trebuchet MS"/>
          <w:sz w:val="16"/>
          <w:szCs w:val="16"/>
        </w:rPr>
        <w:t>The main difference is the funding of the purchase</w:t>
      </w:r>
      <w:r w:rsidRPr="00014588">
        <w:rPr>
          <w:rFonts w:ascii="Trebuchet MS" w:hAnsi="Trebuchet MS"/>
          <w:sz w:val="16"/>
          <w:szCs w:val="16"/>
        </w:rPr>
        <w:t xml:space="preserve"> of AGIL and LGI in a transaction at arm’s length whereby AEI pays a price/premium for buying the transferring portfolios. This wasn’t explicitly considered in the initial report. AEI is mainly funded by dividend from LGI</w:t>
      </w:r>
      <w:r>
        <w:rPr>
          <w:rFonts w:ascii="Trebuchet MS" w:hAnsi="Trebuchet MS"/>
          <w:sz w:val="16"/>
          <w:szCs w:val="16"/>
        </w:rPr>
        <w:t xml:space="preserve"> to </w:t>
      </w:r>
      <w:proofErr w:type="spellStart"/>
      <w:r>
        <w:rPr>
          <w:rFonts w:ascii="Trebuchet MS" w:hAnsi="Trebuchet MS"/>
          <w:sz w:val="16"/>
          <w:szCs w:val="16"/>
        </w:rPr>
        <w:t>TWGE</w:t>
      </w:r>
      <w:proofErr w:type="spellEnd"/>
      <w:r>
        <w:rPr>
          <w:rFonts w:ascii="Trebuchet MS" w:hAnsi="Trebuchet MS"/>
          <w:sz w:val="16"/>
          <w:szCs w:val="16"/>
        </w:rPr>
        <w:t xml:space="preserve"> which then makes capital injection to AEI</w:t>
      </w:r>
      <w:r w:rsidRPr="00014588">
        <w:rPr>
          <w:rFonts w:ascii="Trebuchet MS" w:hAnsi="Trebuchet MS"/>
          <w:sz w:val="16"/>
          <w:szCs w:val="16"/>
        </w:rPr>
        <w:t>.</w:t>
      </w:r>
    </w:p>
  </w:footnote>
  <w:footnote w:id="9">
    <w:p w14:paraId="0AC7A389" w14:textId="78C47347" w:rsidR="00082924" w:rsidRPr="00DD4F18" w:rsidRDefault="00082924">
      <w:pPr>
        <w:pStyle w:val="FootnoteText"/>
        <w:rPr>
          <w:lang w:val="en-US"/>
        </w:rPr>
      </w:pPr>
      <w:r w:rsidRPr="00014588">
        <w:rPr>
          <w:rStyle w:val="FootnoteReference"/>
          <w:rFonts w:ascii="Trebuchet MS" w:hAnsi="Trebuchet MS"/>
          <w:sz w:val="16"/>
          <w:szCs w:val="16"/>
        </w:rPr>
        <w:footnoteRef/>
      </w:r>
      <w:r w:rsidRPr="00014588">
        <w:rPr>
          <w:rFonts w:ascii="Trebuchet MS" w:hAnsi="Trebuchet MS"/>
          <w:sz w:val="16"/>
          <w:szCs w:val="16"/>
        </w:rPr>
        <w:t xml:space="preserve"> </w:t>
      </w:r>
      <w:r w:rsidRPr="00014588">
        <w:rPr>
          <w:rFonts w:ascii="Trebuchet MS" w:hAnsi="Trebuchet MS"/>
          <w:sz w:val="16"/>
          <w:szCs w:val="16"/>
          <w:lang w:val="en-US"/>
        </w:rPr>
        <w:t>The plan is to use the £35.0m to buy investment assets</w:t>
      </w:r>
    </w:p>
  </w:footnote>
  <w:footnote w:id="10">
    <w:p w14:paraId="2E241DF9" w14:textId="305F55FB" w:rsidR="00082924" w:rsidRPr="00014588" w:rsidRDefault="00082924">
      <w:pPr>
        <w:pStyle w:val="FootnoteText"/>
        <w:rPr>
          <w:rFonts w:ascii="Trebuchet MS" w:hAnsi="Trebuchet MS"/>
          <w:sz w:val="16"/>
          <w:szCs w:val="16"/>
          <w:lang w:val="en-US"/>
        </w:rPr>
      </w:pPr>
      <w:r w:rsidRPr="00014588">
        <w:rPr>
          <w:rStyle w:val="FootnoteReference"/>
          <w:rFonts w:ascii="Trebuchet MS" w:hAnsi="Trebuchet MS"/>
          <w:sz w:val="16"/>
          <w:szCs w:val="16"/>
        </w:rPr>
        <w:footnoteRef/>
      </w:r>
      <w:r w:rsidRPr="00014588">
        <w:rPr>
          <w:rFonts w:ascii="Trebuchet MS" w:hAnsi="Trebuchet MS"/>
          <w:sz w:val="16"/>
          <w:szCs w:val="16"/>
        </w:rPr>
        <w:t xml:space="preserve"> </w:t>
      </w:r>
      <w:r>
        <w:rPr>
          <w:rFonts w:ascii="Trebuchet MS" w:hAnsi="Trebuchet MS"/>
          <w:sz w:val="16"/>
          <w:szCs w:val="16"/>
          <w:lang w:val="en-US"/>
        </w:rPr>
        <w:t>COVID-19</w:t>
      </w:r>
      <w:r w:rsidRPr="00014588">
        <w:rPr>
          <w:rFonts w:ascii="Trebuchet MS" w:hAnsi="Trebuchet MS"/>
          <w:sz w:val="16"/>
          <w:szCs w:val="16"/>
          <w:lang w:val="en-US"/>
        </w:rPr>
        <w:t xml:space="preserve"> was not yet an issue at YE19. However, we have done a “as-if” assessment of </w:t>
      </w:r>
      <w:r>
        <w:rPr>
          <w:rFonts w:ascii="Trebuchet MS" w:hAnsi="Trebuchet MS"/>
          <w:sz w:val="16"/>
          <w:szCs w:val="16"/>
          <w:lang w:val="en-US"/>
        </w:rPr>
        <w:t>COVID-19</w:t>
      </w:r>
      <w:r w:rsidRPr="00014588">
        <w:rPr>
          <w:rFonts w:ascii="Trebuchet MS" w:hAnsi="Trebuchet MS"/>
          <w:sz w:val="16"/>
          <w:szCs w:val="16"/>
          <w:lang w:val="en-US"/>
        </w:rPr>
        <w:t xml:space="preserve"> on the “as-if” YE19 Transfer at YE19 to assess the impact that disease might have on the Scheme.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74A2F3B2"/>
    <w:lvl w:ilvl="0">
      <w:start w:val="1"/>
      <w:numFmt w:val="decimal"/>
      <w:pStyle w:val="Level1"/>
      <w:lvlText w:val="%1."/>
      <w:lvlJc w:val="left"/>
      <w:pPr>
        <w:tabs>
          <w:tab w:val="num" w:pos="851"/>
        </w:tabs>
        <w:ind w:left="851" w:hanging="851"/>
      </w:pPr>
      <w:rPr>
        <w:rFonts w:hint="default"/>
        <w:b w:val="0"/>
        <w:i w:val="0"/>
        <w:caps w:val="0"/>
        <w:smallCaps w:val="0"/>
        <w:strike w:val="0"/>
        <w:dstrike w:val="0"/>
        <w:outline w:val="0"/>
        <w:shadow w:val="0"/>
        <w:emboss w:val="0"/>
        <w:imprint w:val="0"/>
        <w:vanish w:val="0"/>
        <w:color w:val="auto"/>
        <w:sz w:val="20"/>
        <w:szCs w:val="20"/>
        <w:u w:val="none"/>
        <w:effect w:val="none"/>
        <w:vertAlign w:val="baseline"/>
      </w:rPr>
    </w:lvl>
    <w:lvl w:ilvl="1">
      <w:start w:val="1"/>
      <w:numFmt w:val="decimal"/>
      <w:pStyle w:val="Level2"/>
      <w:lvlText w:val="%1.%2"/>
      <w:lvlJc w:val="left"/>
      <w:pPr>
        <w:tabs>
          <w:tab w:val="num" w:pos="851"/>
        </w:tabs>
        <w:ind w:left="851" w:hanging="851"/>
      </w:pPr>
      <w:rPr>
        <w:rFonts w:hint="default"/>
        <w:b w:val="0"/>
        <w:i w:val="0"/>
        <w:caps w:val="0"/>
        <w:smallCaps w:val="0"/>
        <w:strike w:val="0"/>
        <w:dstrike w:val="0"/>
        <w:outline w:val="0"/>
        <w:shadow w:val="0"/>
        <w:emboss w:val="0"/>
        <w:imprint w:val="0"/>
        <w:vanish w:val="0"/>
        <w:color w:val="auto"/>
        <w:sz w:val="20"/>
        <w:szCs w:val="20"/>
        <w:u w:val="none"/>
        <w:effect w:val="none"/>
        <w:vertAlign w:val="baseline"/>
      </w:rPr>
    </w:lvl>
    <w:lvl w:ilvl="2">
      <w:start w:val="1"/>
      <w:numFmt w:val="decimal"/>
      <w:pStyle w:val="Level3"/>
      <w:lvlText w:val="%1.%2.%3"/>
      <w:lvlJc w:val="left"/>
      <w:pPr>
        <w:tabs>
          <w:tab w:val="num" w:pos="1844"/>
        </w:tabs>
        <w:ind w:left="1844" w:hanging="851"/>
      </w:pPr>
      <w:rPr>
        <w:rFonts w:hint="default"/>
        <w:b w:val="0"/>
        <w:i w:val="0"/>
        <w:caps w:val="0"/>
        <w:smallCaps w:val="0"/>
        <w:strike w:val="0"/>
        <w:dstrike w:val="0"/>
        <w:outline w:val="0"/>
        <w:shadow w:val="0"/>
        <w:emboss w:val="0"/>
        <w:imprint w:val="0"/>
        <w:vanish w:val="0"/>
        <w:u w:val="none"/>
        <w:effect w:val="none"/>
        <w:vertAlign w:val="baseline"/>
      </w:rPr>
    </w:lvl>
    <w:lvl w:ilvl="3">
      <w:start w:val="1"/>
      <w:numFmt w:val="lowerLetter"/>
      <w:pStyle w:val="Level4"/>
      <w:lvlText w:val="(%4)"/>
      <w:lvlJc w:val="left"/>
      <w:pPr>
        <w:tabs>
          <w:tab w:val="num" w:pos="2553"/>
        </w:tabs>
        <w:ind w:left="2553" w:hanging="851"/>
      </w:pPr>
      <w:rPr>
        <w:rFonts w:ascii="Arial" w:hAnsi="Arial" w:cs="Arial" w:hint="default"/>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404"/>
        </w:tabs>
        <w:ind w:left="3404" w:hanging="851"/>
      </w:pPr>
      <w:rPr>
        <w:rFonts w:hint="default"/>
        <w:b w:val="0"/>
        <w:i w:val="0"/>
        <w:caps w:val="0"/>
        <w:smallCaps w:val="0"/>
        <w:strike w:val="0"/>
        <w:dstrike w:val="0"/>
        <w:outline w:val="0"/>
        <w:shadow w:val="0"/>
        <w:emboss w:val="0"/>
        <w:imprint w:val="0"/>
        <w:vanish w:val="0"/>
        <w:u w:val="none"/>
        <w:effect w:val="none"/>
        <w:vertAlign w:val="baseline"/>
      </w:rPr>
    </w:lvl>
    <w:lvl w:ilvl="5">
      <w:start w:val="1"/>
      <w:numFmt w:val="decimal"/>
      <w:pStyle w:val="Level6"/>
      <w:lvlText w:val="(%6)"/>
      <w:lvlJc w:val="left"/>
      <w:pPr>
        <w:tabs>
          <w:tab w:val="num" w:pos="4255"/>
        </w:tabs>
        <w:ind w:left="4255" w:hanging="851"/>
      </w:pPr>
      <w:rPr>
        <w:rFonts w:hint="default"/>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abstractNum>
  <w:abstractNum w:abstractNumId="1">
    <w:nsid w:val="02F351C9"/>
    <w:multiLevelType w:val="hybridMultilevel"/>
    <w:tmpl w:val="02CCCBD6"/>
    <w:lvl w:ilvl="0" w:tplc="66CE7138">
      <w:start w:val="1"/>
      <w:numFmt w:val="upperLetter"/>
      <w:lvlText w:val="%1)"/>
      <w:lvlJc w:val="left"/>
      <w:pPr>
        <w:ind w:left="720" w:hanging="360"/>
      </w:pPr>
      <w:rPr>
        <w:color w:val="FF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5B80364"/>
    <w:multiLevelType w:val="hybridMultilevel"/>
    <w:tmpl w:val="9A52B3A8"/>
    <w:lvl w:ilvl="0" w:tplc="8F96DACE">
      <w:start w:val="46"/>
      <w:numFmt w:val="bullet"/>
      <w:lvlText w:val="-"/>
      <w:lvlJc w:val="left"/>
      <w:pPr>
        <w:ind w:left="720" w:hanging="360"/>
      </w:pPr>
      <w:rPr>
        <w:rFonts w:ascii="Trebuchet MS" w:eastAsiaTheme="minorHAnsi"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7A3D7D"/>
    <w:multiLevelType w:val="hybridMultilevel"/>
    <w:tmpl w:val="657A95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A99351A"/>
    <w:multiLevelType w:val="hybridMultilevel"/>
    <w:tmpl w:val="CF1AA076"/>
    <w:lvl w:ilvl="0" w:tplc="6A80500A">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195ED7"/>
    <w:multiLevelType w:val="hybridMultilevel"/>
    <w:tmpl w:val="3EDAA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F13303"/>
    <w:multiLevelType w:val="hybridMultilevel"/>
    <w:tmpl w:val="69AC4CCC"/>
    <w:lvl w:ilvl="0" w:tplc="6A80500A">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94299D"/>
    <w:multiLevelType w:val="hybridMultilevel"/>
    <w:tmpl w:val="2B3CFA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952406"/>
    <w:multiLevelType w:val="hybridMultilevel"/>
    <w:tmpl w:val="5080D82E"/>
    <w:lvl w:ilvl="0" w:tplc="E93A1C98">
      <w:start w:val="1"/>
      <w:numFmt w:val="bullet"/>
      <w:lvlText w:val="•"/>
      <w:lvlJc w:val="left"/>
      <w:pPr>
        <w:tabs>
          <w:tab w:val="num" w:pos="720"/>
        </w:tabs>
        <w:ind w:left="720" w:hanging="360"/>
      </w:pPr>
      <w:rPr>
        <w:rFonts w:ascii="Times New Roman" w:hAnsi="Times New Roman" w:hint="default"/>
      </w:rPr>
    </w:lvl>
    <w:lvl w:ilvl="1" w:tplc="500C383E" w:tentative="1">
      <w:start w:val="1"/>
      <w:numFmt w:val="bullet"/>
      <w:lvlText w:val="•"/>
      <w:lvlJc w:val="left"/>
      <w:pPr>
        <w:tabs>
          <w:tab w:val="num" w:pos="1440"/>
        </w:tabs>
        <w:ind w:left="1440" w:hanging="360"/>
      </w:pPr>
      <w:rPr>
        <w:rFonts w:ascii="Times New Roman" w:hAnsi="Times New Roman" w:hint="default"/>
      </w:rPr>
    </w:lvl>
    <w:lvl w:ilvl="2" w:tplc="25A80186" w:tentative="1">
      <w:start w:val="1"/>
      <w:numFmt w:val="bullet"/>
      <w:lvlText w:val="•"/>
      <w:lvlJc w:val="left"/>
      <w:pPr>
        <w:tabs>
          <w:tab w:val="num" w:pos="2160"/>
        </w:tabs>
        <w:ind w:left="2160" w:hanging="360"/>
      </w:pPr>
      <w:rPr>
        <w:rFonts w:ascii="Times New Roman" w:hAnsi="Times New Roman" w:hint="default"/>
      </w:rPr>
    </w:lvl>
    <w:lvl w:ilvl="3" w:tplc="A9EC3E68" w:tentative="1">
      <w:start w:val="1"/>
      <w:numFmt w:val="bullet"/>
      <w:lvlText w:val="•"/>
      <w:lvlJc w:val="left"/>
      <w:pPr>
        <w:tabs>
          <w:tab w:val="num" w:pos="2880"/>
        </w:tabs>
        <w:ind w:left="2880" w:hanging="360"/>
      </w:pPr>
      <w:rPr>
        <w:rFonts w:ascii="Times New Roman" w:hAnsi="Times New Roman" w:hint="default"/>
      </w:rPr>
    </w:lvl>
    <w:lvl w:ilvl="4" w:tplc="81D65BBC" w:tentative="1">
      <w:start w:val="1"/>
      <w:numFmt w:val="bullet"/>
      <w:lvlText w:val="•"/>
      <w:lvlJc w:val="left"/>
      <w:pPr>
        <w:tabs>
          <w:tab w:val="num" w:pos="3600"/>
        </w:tabs>
        <w:ind w:left="3600" w:hanging="360"/>
      </w:pPr>
      <w:rPr>
        <w:rFonts w:ascii="Times New Roman" w:hAnsi="Times New Roman" w:hint="default"/>
      </w:rPr>
    </w:lvl>
    <w:lvl w:ilvl="5" w:tplc="D87A78E8" w:tentative="1">
      <w:start w:val="1"/>
      <w:numFmt w:val="bullet"/>
      <w:lvlText w:val="•"/>
      <w:lvlJc w:val="left"/>
      <w:pPr>
        <w:tabs>
          <w:tab w:val="num" w:pos="4320"/>
        </w:tabs>
        <w:ind w:left="4320" w:hanging="360"/>
      </w:pPr>
      <w:rPr>
        <w:rFonts w:ascii="Times New Roman" w:hAnsi="Times New Roman" w:hint="default"/>
      </w:rPr>
    </w:lvl>
    <w:lvl w:ilvl="6" w:tplc="CD782DE4" w:tentative="1">
      <w:start w:val="1"/>
      <w:numFmt w:val="bullet"/>
      <w:lvlText w:val="•"/>
      <w:lvlJc w:val="left"/>
      <w:pPr>
        <w:tabs>
          <w:tab w:val="num" w:pos="5040"/>
        </w:tabs>
        <w:ind w:left="5040" w:hanging="360"/>
      </w:pPr>
      <w:rPr>
        <w:rFonts w:ascii="Times New Roman" w:hAnsi="Times New Roman" w:hint="default"/>
      </w:rPr>
    </w:lvl>
    <w:lvl w:ilvl="7" w:tplc="DD22FBAE" w:tentative="1">
      <w:start w:val="1"/>
      <w:numFmt w:val="bullet"/>
      <w:lvlText w:val="•"/>
      <w:lvlJc w:val="left"/>
      <w:pPr>
        <w:tabs>
          <w:tab w:val="num" w:pos="5760"/>
        </w:tabs>
        <w:ind w:left="5760" w:hanging="360"/>
      </w:pPr>
      <w:rPr>
        <w:rFonts w:ascii="Times New Roman" w:hAnsi="Times New Roman" w:hint="default"/>
      </w:rPr>
    </w:lvl>
    <w:lvl w:ilvl="8" w:tplc="D9FC417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9F804AA"/>
    <w:multiLevelType w:val="hybridMultilevel"/>
    <w:tmpl w:val="37B21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6071FE"/>
    <w:multiLevelType w:val="hybridMultilevel"/>
    <w:tmpl w:val="AC92D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CC0281C"/>
    <w:multiLevelType w:val="hybridMultilevel"/>
    <w:tmpl w:val="0B4A6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E42F93"/>
    <w:multiLevelType w:val="hybridMultilevel"/>
    <w:tmpl w:val="D3002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660CB9"/>
    <w:multiLevelType w:val="hybridMultilevel"/>
    <w:tmpl w:val="9EFCC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8F216D"/>
    <w:multiLevelType w:val="hybridMultilevel"/>
    <w:tmpl w:val="3454C578"/>
    <w:lvl w:ilvl="0" w:tplc="6A80500A">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406579"/>
    <w:multiLevelType w:val="hybridMultilevel"/>
    <w:tmpl w:val="589A5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777DBA"/>
    <w:multiLevelType w:val="hybridMultilevel"/>
    <w:tmpl w:val="F7A4DC84"/>
    <w:lvl w:ilvl="0" w:tplc="0C4C322A">
      <w:start w:val="1"/>
      <w:numFmt w:val="bullet"/>
      <w:lvlText w:val="-"/>
      <w:lvlJc w:val="left"/>
      <w:pPr>
        <w:ind w:left="720" w:hanging="360"/>
      </w:pPr>
      <w:rPr>
        <w:rFonts w:ascii="Trebuchet MS" w:eastAsiaTheme="minorHAnsi" w:hAnsi="Trebuchet M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9D205D"/>
    <w:multiLevelType w:val="hybridMultilevel"/>
    <w:tmpl w:val="CC6CC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DF54C50"/>
    <w:multiLevelType w:val="hybridMultilevel"/>
    <w:tmpl w:val="DEEEF5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2E1468B4"/>
    <w:multiLevelType w:val="hybridMultilevel"/>
    <w:tmpl w:val="422C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E163254"/>
    <w:multiLevelType w:val="hybridMultilevel"/>
    <w:tmpl w:val="E490F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2EC61EFF"/>
    <w:multiLevelType w:val="hybridMultilevel"/>
    <w:tmpl w:val="363E30FC"/>
    <w:lvl w:ilvl="0" w:tplc="08090001">
      <w:start w:val="1"/>
      <w:numFmt w:val="bullet"/>
      <w:lvlText w:val=""/>
      <w:lvlJc w:val="left"/>
      <w:pPr>
        <w:ind w:left="720" w:hanging="360"/>
      </w:pPr>
      <w:rPr>
        <w:rFonts w:ascii="Symbol" w:hAnsi="Symbol" w:hint="default"/>
      </w:rPr>
    </w:lvl>
    <w:lvl w:ilvl="1" w:tplc="B2F6F6F8">
      <w:start w:val="1"/>
      <w:numFmt w:val="bullet"/>
      <w:pStyle w:val="bullets2nospace"/>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4BD7576"/>
    <w:multiLevelType w:val="multilevel"/>
    <w:tmpl w:val="FA88B92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6FA187D"/>
    <w:multiLevelType w:val="hybridMultilevel"/>
    <w:tmpl w:val="78247D1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4">
    <w:nsid w:val="4BD90DF4"/>
    <w:multiLevelType w:val="hybridMultilevel"/>
    <w:tmpl w:val="03AC5B72"/>
    <w:lvl w:ilvl="0" w:tplc="6A80500A">
      <w:start w:val="2"/>
      <w:numFmt w:val="bullet"/>
      <w:lvlText w:val="-"/>
      <w:lvlJc w:val="left"/>
      <w:pPr>
        <w:ind w:left="360" w:hanging="36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D8C2F1E"/>
    <w:multiLevelType w:val="hybridMultilevel"/>
    <w:tmpl w:val="A920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9B6C17"/>
    <w:multiLevelType w:val="hybridMultilevel"/>
    <w:tmpl w:val="0672C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123362"/>
    <w:multiLevelType w:val="hybridMultilevel"/>
    <w:tmpl w:val="43BA9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A6255E"/>
    <w:multiLevelType w:val="hybridMultilevel"/>
    <w:tmpl w:val="959E4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2AF4C21"/>
    <w:multiLevelType w:val="hybridMultilevel"/>
    <w:tmpl w:val="BFDE2C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33D2506"/>
    <w:multiLevelType w:val="hybridMultilevel"/>
    <w:tmpl w:val="0F06C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583828F8"/>
    <w:multiLevelType w:val="hybridMultilevel"/>
    <w:tmpl w:val="FA5A1A70"/>
    <w:lvl w:ilvl="0" w:tplc="93A6C94C">
      <w:start w:val="1"/>
      <w:numFmt w:val="bullet"/>
      <w:pStyle w:val="bulletswithspacing"/>
      <w:lvlText w:val=""/>
      <w:lvlJc w:val="left"/>
      <w:pPr>
        <w:ind w:left="6" w:hanging="360"/>
      </w:pPr>
      <w:rPr>
        <w:rFonts w:ascii="Symbol" w:hAnsi="Symbol" w:hint="default"/>
      </w:rPr>
    </w:lvl>
    <w:lvl w:ilvl="1" w:tplc="08090003">
      <w:start w:val="1"/>
      <w:numFmt w:val="bullet"/>
      <w:lvlText w:val="o"/>
      <w:lvlJc w:val="left"/>
      <w:pPr>
        <w:ind w:left="726" w:hanging="360"/>
      </w:pPr>
      <w:rPr>
        <w:rFonts w:ascii="Courier New" w:hAnsi="Courier New" w:cs="Courier New" w:hint="default"/>
      </w:rPr>
    </w:lvl>
    <w:lvl w:ilvl="2" w:tplc="08090005">
      <w:start w:val="1"/>
      <w:numFmt w:val="bullet"/>
      <w:lvlText w:val=""/>
      <w:lvlJc w:val="left"/>
      <w:pPr>
        <w:ind w:left="1446" w:hanging="360"/>
      </w:pPr>
      <w:rPr>
        <w:rFonts w:ascii="Wingdings" w:hAnsi="Wingdings" w:hint="default"/>
      </w:rPr>
    </w:lvl>
    <w:lvl w:ilvl="3" w:tplc="08090001">
      <w:start w:val="1"/>
      <w:numFmt w:val="bullet"/>
      <w:lvlText w:val=""/>
      <w:lvlJc w:val="left"/>
      <w:pPr>
        <w:ind w:left="2166" w:hanging="360"/>
      </w:pPr>
      <w:rPr>
        <w:rFonts w:ascii="Symbol" w:hAnsi="Symbol" w:hint="default"/>
      </w:rPr>
    </w:lvl>
    <w:lvl w:ilvl="4" w:tplc="08090003">
      <w:start w:val="1"/>
      <w:numFmt w:val="bullet"/>
      <w:lvlText w:val="o"/>
      <w:lvlJc w:val="left"/>
      <w:pPr>
        <w:ind w:left="2886" w:hanging="360"/>
      </w:pPr>
      <w:rPr>
        <w:rFonts w:ascii="Courier New" w:hAnsi="Courier New" w:cs="Courier New" w:hint="default"/>
      </w:rPr>
    </w:lvl>
    <w:lvl w:ilvl="5" w:tplc="08090005">
      <w:start w:val="1"/>
      <w:numFmt w:val="bullet"/>
      <w:lvlText w:val=""/>
      <w:lvlJc w:val="left"/>
      <w:pPr>
        <w:ind w:left="3606" w:hanging="360"/>
      </w:pPr>
      <w:rPr>
        <w:rFonts w:ascii="Wingdings" w:hAnsi="Wingdings" w:hint="default"/>
      </w:rPr>
    </w:lvl>
    <w:lvl w:ilvl="6" w:tplc="08090001">
      <w:start w:val="1"/>
      <w:numFmt w:val="bullet"/>
      <w:lvlText w:val=""/>
      <w:lvlJc w:val="left"/>
      <w:pPr>
        <w:ind w:left="4326" w:hanging="360"/>
      </w:pPr>
      <w:rPr>
        <w:rFonts w:ascii="Symbol" w:hAnsi="Symbol" w:hint="default"/>
      </w:rPr>
    </w:lvl>
    <w:lvl w:ilvl="7" w:tplc="08090003">
      <w:start w:val="1"/>
      <w:numFmt w:val="bullet"/>
      <w:lvlText w:val="o"/>
      <w:lvlJc w:val="left"/>
      <w:pPr>
        <w:ind w:left="5046" w:hanging="360"/>
      </w:pPr>
      <w:rPr>
        <w:rFonts w:ascii="Courier New" w:hAnsi="Courier New" w:cs="Courier New" w:hint="default"/>
      </w:rPr>
    </w:lvl>
    <w:lvl w:ilvl="8" w:tplc="08090005">
      <w:start w:val="1"/>
      <w:numFmt w:val="bullet"/>
      <w:lvlText w:val=""/>
      <w:lvlJc w:val="left"/>
      <w:pPr>
        <w:ind w:left="5766" w:hanging="360"/>
      </w:pPr>
      <w:rPr>
        <w:rFonts w:ascii="Wingdings" w:hAnsi="Wingdings" w:hint="default"/>
      </w:rPr>
    </w:lvl>
  </w:abstractNum>
  <w:abstractNum w:abstractNumId="32">
    <w:nsid w:val="5B256A4F"/>
    <w:multiLevelType w:val="hybridMultilevel"/>
    <w:tmpl w:val="45B81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F7B315A"/>
    <w:multiLevelType w:val="hybridMultilevel"/>
    <w:tmpl w:val="145C6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63074F53"/>
    <w:multiLevelType w:val="multilevel"/>
    <w:tmpl w:val="F4F637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35C14CA"/>
    <w:multiLevelType w:val="hybridMultilevel"/>
    <w:tmpl w:val="EAD69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3DA7A96"/>
    <w:multiLevelType w:val="hybridMultilevel"/>
    <w:tmpl w:val="E49E467E"/>
    <w:lvl w:ilvl="0" w:tplc="0C4C322A">
      <w:start w:val="1"/>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63310D3"/>
    <w:multiLevelType w:val="hybridMultilevel"/>
    <w:tmpl w:val="45B23E58"/>
    <w:lvl w:ilvl="0" w:tplc="2B9C88CA">
      <w:start w:val="1"/>
      <w:numFmt w:val="bullet"/>
      <w:lvlText w:val="•"/>
      <w:lvlJc w:val="left"/>
      <w:pPr>
        <w:tabs>
          <w:tab w:val="num" w:pos="720"/>
        </w:tabs>
        <w:ind w:left="720" w:hanging="360"/>
      </w:pPr>
      <w:rPr>
        <w:rFonts w:ascii="Times New Roman" w:hAnsi="Times New Roman" w:hint="default"/>
      </w:rPr>
    </w:lvl>
    <w:lvl w:ilvl="1" w:tplc="37E80B70" w:tentative="1">
      <w:start w:val="1"/>
      <w:numFmt w:val="bullet"/>
      <w:lvlText w:val="•"/>
      <w:lvlJc w:val="left"/>
      <w:pPr>
        <w:tabs>
          <w:tab w:val="num" w:pos="1440"/>
        </w:tabs>
        <w:ind w:left="1440" w:hanging="360"/>
      </w:pPr>
      <w:rPr>
        <w:rFonts w:ascii="Times New Roman" w:hAnsi="Times New Roman" w:hint="default"/>
      </w:rPr>
    </w:lvl>
    <w:lvl w:ilvl="2" w:tplc="2E9A3BE2" w:tentative="1">
      <w:start w:val="1"/>
      <w:numFmt w:val="bullet"/>
      <w:lvlText w:val="•"/>
      <w:lvlJc w:val="left"/>
      <w:pPr>
        <w:tabs>
          <w:tab w:val="num" w:pos="2160"/>
        </w:tabs>
        <w:ind w:left="2160" w:hanging="360"/>
      </w:pPr>
      <w:rPr>
        <w:rFonts w:ascii="Times New Roman" w:hAnsi="Times New Roman" w:hint="default"/>
      </w:rPr>
    </w:lvl>
    <w:lvl w:ilvl="3" w:tplc="B2FE6E28" w:tentative="1">
      <w:start w:val="1"/>
      <w:numFmt w:val="bullet"/>
      <w:lvlText w:val="•"/>
      <w:lvlJc w:val="left"/>
      <w:pPr>
        <w:tabs>
          <w:tab w:val="num" w:pos="2880"/>
        </w:tabs>
        <w:ind w:left="2880" w:hanging="360"/>
      </w:pPr>
      <w:rPr>
        <w:rFonts w:ascii="Times New Roman" w:hAnsi="Times New Roman" w:hint="default"/>
      </w:rPr>
    </w:lvl>
    <w:lvl w:ilvl="4" w:tplc="76F62120" w:tentative="1">
      <w:start w:val="1"/>
      <w:numFmt w:val="bullet"/>
      <w:lvlText w:val="•"/>
      <w:lvlJc w:val="left"/>
      <w:pPr>
        <w:tabs>
          <w:tab w:val="num" w:pos="3600"/>
        </w:tabs>
        <w:ind w:left="3600" w:hanging="360"/>
      </w:pPr>
      <w:rPr>
        <w:rFonts w:ascii="Times New Roman" w:hAnsi="Times New Roman" w:hint="default"/>
      </w:rPr>
    </w:lvl>
    <w:lvl w:ilvl="5" w:tplc="209AFF78" w:tentative="1">
      <w:start w:val="1"/>
      <w:numFmt w:val="bullet"/>
      <w:lvlText w:val="•"/>
      <w:lvlJc w:val="left"/>
      <w:pPr>
        <w:tabs>
          <w:tab w:val="num" w:pos="4320"/>
        </w:tabs>
        <w:ind w:left="4320" w:hanging="360"/>
      </w:pPr>
      <w:rPr>
        <w:rFonts w:ascii="Times New Roman" w:hAnsi="Times New Roman" w:hint="default"/>
      </w:rPr>
    </w:lvl>
    <w:lvl w:ilvl="6" w:tplc="61DEDEB6" w:tentative="1">
      <w:start w:val="1"/>
      <w:numFmt w:val="bullet"/>
      <w:lvlText w:val="•"/>
      <w:lvlJc w:val="left"/>
      <w:pPr>
        <w:tabs>
          <w:tab w:val="num" w:pos="5040"/>
        </w:tabs>
        <w:ind w:left="5040" w:hanging="360"/>
      </w:pPr>
      <w:rPr>
        <w:rFonts w:ascii="Times New Roman" w:hAnsi="Times New Roman" w:hint="default"/>
      </w:rPr>
    </w:lvl>
    <w:lvl w:ilvl="7" w:tplc="8BC6BD10" w:tentative="1">
      <w:start w:val="1"/>
      <w:numFmt w:val="bullet"/>
      <w:lvlText w:val="•"/>
      <w:lvlJc w:val="left"/>
      <w:pPr>
        <w:tabs>
          <w:tab w:val="num" w:pos="5760"/>
        </w:tabs>
        <w:ind w:left="5760" w:hanging="360"/>
      </w:pPr>
      <w:rPr>
        <w:rFonts w:ascii="Times New Roman" w:hAnsi="Times New Roman" w:hint="default"/>
      </w:rPr>
    </w:lvl>
    <w:lvl w:ilvl="8" w:tplc="7E18E954" w:tentative="1">
      <w:start w:val="1"/>
      <w:numFmt w:val="bullet"/>
      <w:lvlText w:val="•"/>
      <w:lvlJc w:val="left"/>
      <w:pPr>
        <w:tabs>
          <w:tab w:val="num" w:pos="6480"/>
        </w:tabs>
        <w:ind w:left="6480" w:hanging="360"/>
      </w:pPr>
      <w:rPr>
        <w:rFonts w:ascii="Times New Roman" w:hAnsi="Times New Roman" w:hint="default"/>
      </w:rPr>
    </w:lvl>
  </w:abstractNum>
  <w:abstractNum w:abstractNumId="38">
    <w:nsid w:val="668536AD"/>
    <w:multiLevelType w:val="hybridMultilevel"/>
    <w:tmpl w:val="71287E9E"/>
    <w:lvl w:ilvl="0" w:tplc="08090001">
      <w:start w:val="1"/>
      <w:numFmt w:val="bullet"/>
      <w:lvlText w:val=""/>
      <w:lvlJc w:val="left"/>
      <w:pPr>
        <w:ind w:left="720" w:hanging="360"/>
      </w:pPr>
      <w:rPr>
        <w:rFonts w:ascii="Symbol" w:hAnsi="Symbol" w:hint="default"/>
      </w:rPr>
    </w:lvl>
    <w:lvl w:ilvl="1" w:tplc="6A80500A">
      <w:start w:val="2"/>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A243B05"/>
    <w:multiLevelType w:val="hybridMultilevel"/>
    <w:tmpl w:val="F33C0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CD61191"/>
    <w:multiLevelType w:val="hybridMultilevel"/>
    <w:tmpl w:val="59B0306C"/>
    <w:lvl w:ilvl="0" w:tplc="6A80500A">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D291E55"/>
    <w:multiLevelType w:val="hybridMultilevel"/>
    <w:tmpl w:val="A1E2067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6DF4013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F915A3C"/>
    <w:multiLevelType w:val="hybridMultilevel"/>
    <w:tmpl w:val="EF4E3C6A"/>
    <w:lvl w:ilvl="0" w:tplc="31561C1E">
      <w:start w:val="1"/>
      <w:numFmt w:val="bullet"/>
      <w:lvlText w:val="•"/>
      <w:lvlJc w:val="left"/>
      <w:pPr>
        <w:tabs>
          <w:tab w:val="num" w:pos="720"/>
        </w:tabs>
        <w:ind w:left="720" w:hanging="360"/>
      </w:pPr>
      <w:rPr>
        <w:rFonts w:ascii="Arial" w:hAnsi="Arial" w:hint="default"/>
      </w:rPr>
    </w:lvl>
    <w:lvl w:ilvl="1" w:tplc="FFECAB2A" w:tentative="1">
      <w:start w:val="1"/>
      <w:numFmt w:val="bullet"/>
      <w:lvlText w:val="•"/>
      <w:lvlJc w:val="left"/>
      <w:pPr>
        <w:tabs>
          <w:tab w:val="num" w:pos="1440"/>
        </w:tabs>
        <w:ind w:left="1440" w:hanging="360"/>
      </w:pPr>
      <w:rPr>
        <w:rFonts w:ascii="Arial" w:hAnsi="Arial" w:hint="default"/>
      </w:rPr>
    </w:lvl>
    <w:lvl w:ilvl="2" w:tplc="00C03554" w:tentative="1">
      <w:start w:val="1"/>
      <w:numFmt w:val="bullet"/>
      <w:lvlText w:val="•"/>
      <w:lvlJc w:val="left"/>
      <w:pPr>
        <w:tabs>
          <w:tab w:val="num" w:pos="2160"/>
        </w:tabs>
        <w:ind w:left="2160" w:hanging="360"/>
      </w:pPr>
      <w:rPr>
        <w:rFonts w:ascii="Arial" w:hAnsi="Arial" w:hint="default"/>
      </w:rPr>
    </w:lvl>
    <w:lvl w:ilvl="3" w:tplc="332EDAFC" w:tentative="1">
      <w:start w:val="1"/>
      <w:numFmt w:val="bullet"/>
      <w:lvlText w:val="•"/>
      <w:lvlJc w:val="left"/>
      <w:pPr>
        <w:tabs>
          <w:tab w:val="num" w:pos="2880"/>
        </w:tabs>
        <w:ind w:left="2880" w:hanging="360"/>
      </w:pPr>
      <w:rPr>
        <w:rFonts w:ascii="Arial" w:hAnsi="Arial" w:hint="default"/>
      </w:rPr>
    </w:lvl>
    <w:lvl w:ilvl="4" w:tplc="7BFE4BE8" w:tentative="1">
      <w:start w:val="1"/>
      <w:numFmt w:val="bullet"/>
      <w:lvlText w:val="•"/>
      <w:lvlJc w:val="left"/>
      <w:pPr>
        <w:tabs>
          <w:tab w:val="num" w:pos="3600"/>
        </w:tabs>
        <w:ind w:left="3600" w:hanging="360"/>
      </w:pPr>
      <w:rPr>
        <w:rFonts w:ascii="Arial" w:hAnsi="Arial" w:hint="default"/>
      </w:rPr>
    </w:lvl>
    <w:lvl w:ilvl="5" w:tplc="6E16C8E0" w:tentative="1">
      <w:start w:val="1"/>
      <w:numFmt w:val="bullet"/>
      <w:lvlText w:val="•"/>
      <w:lvlJc w:val="left"/>
      <w:pPr>
        <w:tabs>
          <w:tab w:val="num" w:pos="4320"/>
        </w:tabs>
        <w:ind w:left="4320" w:hanging="360"/>
      </w:pPr>
      <w:rPr>
        <w:rFonts w:ascii="Arial" w:hAnsi="Arial" w:hint="default"/>
      </w:rPr>
    </w:lvl>
    <w:lvl w:ilvl="6" w:tplc="EAB00EEA" w:tentative="1">
      <w:start w:val="1"/>
      <w:numFmt w:val="bullet"/>
      <w:lvlText w:val="•"/>
      <w:lvlJc w:val="left"/>
      <w:pPr>
        <w:tabs>
          <w:tab w:val="num" w:pos="5040"/>
        </w:tabs>
        <w:ind w:left="5040" w:hanging="360"/>
      </w:pPr>
      <w:rPr>
        <w:rFonts w:ascii="Arial" w:hAnsi="Arial" w:hint="default"/>
      </w:rPr>
    </w:lvl>
    <w:lvl w:ilvl="7" w:tplc="7B24B8DC" w:tentative="1">
      <w:start w:val="1"/>
      <w:numFmt w:val="bullet"/>
      <w:lvlText w:val="•"/>
      <w:lvlJc w:val="left"/>
      <w:pPr>
        <w:tabs>
          <w:tab w:val="num" w:pos="5760"/>
        </w:tabs>
        <w:ind w:left="5760" w:hanging="360"/>
      </w:pPr>
      <w:rPr>
        <w:rFonts w:ascii="Arial" w:hAnsi="Arial" w:hint="default"/>
      </w:rPr>
    </w:lvl>
    <w:lvl w:ilvl="8" w:tplc="5E043570" w:tentative="1">
      <w:start w:val="1"/>
      <w:numFmt w:val="bullet"/>
      <w:lvlText w:val="•"/>
      <w:lvlJc w:val="left"/>
      <w:pPr>
        <w:tabs>
          <w:tab w:val="num" w:pos="6480"/>
        </w:tabs>
        <w:ind w:left="6480" w:hanging="360"/>
      </w:pPr>
      <w:rPr>
        <w:rFonts w:ascii="Arial" w:hAnsi="Arial" w:hint="default"/>
      </w:rPr>
    </w:lvl>
  </w:abstractNum>
  <w:abstractNum w:abstractNumId="44">
    <w:nsid w:val="71AA5B20"/>
    <w:multiLevelType w:val="hybridMultilevel"/>
    <w:tmpl w:val="22F8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90E6954"/>
    <w:multiLevelType w:val="multilevel"/>
    <w:tmpl w:val="6A1C2B3E"/>
    <w:lvl w:ilvl="0">
      <w:start w:val="1"/>
      <w:numFmt w:val="upperLetter"/>
      <w:pStyle w:val="Appendix1"/>
      <w:lvlText w:val="Appendix %1"/>
      <w:lvlJc w:val="left"/>
      <w:pPr>
        <w:ind w:left="1077" w:hanging="1077"/>
      </w:pPr>
      <w:rPr>
        <w:rFonts w:hint="default"/>
      </w:rPr>
    </w:lvl>
    <w:lvl w:ilvl="1">
      <w:start w:val="1"/>
      <w:numFmt w:val="decimal"/>
      <w:pStyle w:val="Appendix2"/>
      <w:lvlText w:val="%1.%2"/>
      <w:lvlJc w:val="left"/>
      <w:pPr>
        <w:tabs>
          <w:tab w:val="num" w:pos="720"/>
        </w:tabs>
        <w:ind w:left="1077" w:hanging="1077"/>
      </w:pPr>
      <w:rPr>
        <w:rFonts w:hint="default"/>
      </w:rPr>
    </w:lvl>
    <w:lvl w:ilvl="2">
      <w:start w:val="1"/>
      <w:numFmt w:val="decimal"/>
      <w:pStyle w:val="Appendix3"/>
      <w:lvlText w:val="%1.%2.%3"/>
      <w:lvlJc w:val="left"/>
      <w:pPr>
        <w:tabs>
          <w:tab w:val="num" w:pos="720"/>
        </w:tabs>
        <w:ind w:left="1077" w:hanging="1077"/>
      </w:pPr>
      <w:rPr>
        <w:rFonts w:hint="default"/>
      </w:rPr>
    </w:lvl>
    <w:lvl w:ilvl="3">
      <w:start w:val="1"/>
      <w:numFmt w:val="decimal"/>
      <w:lvlText w:val="%1.%2.%3.%4"/>
      <w:lvlJc w:val="left"/>
      <w:pPr>
        <w:tabs>
          <w:tab w:val="num" w:pos="720"/>
        </w:tabs>
        <w:ind w:left="1077" w:hanging="1077"/>
      </w:pPr>
      <w:rPr>
        <w:rFonts w:hint="default"/>
      </w:rPr>
    </w:lvl>
    <w:lvl w:ilvl="4">
      <w:start w:val="1"/>
      <w:numFmt w:val="lowerLetter"/>
      <w:lvlText w:val="(%5)"/>
      <w:lvlJc w:val="left"/>
      <w:pPr>
        <w:tabs>
          <w:tab w:val="num" w:pos="720"/>
        </w:tabs>
        <w:ind w:left="1077" w:hanging="1077"/>
      </w:pPr>
      <w:rPr>
        <w:rFonts w:hint="default"/>
      </w:rPr>
    </w:lvl>
    <w:lvl w:ilvl="5">
      <w:start w:val="1"/>
      <w:numFmt w:val="lowerRoman"/>
      <w:lvlText w:val="(%6)"/>
      <w:lvlJc w:val="left"/>
      <w:pPr>
        <w:tabs>
          <w:tab w:val="num" w:pos="720"/>
        </w:tabs>
        <w:ind w:left="1077" w:hanging="1077"/>
      </w:pPr>
      <w:rPr>
        <w:rFonts w:hint="default"/>
      </w:rPr>
    </w:lvl>
    <w:lvl w:ilvl="6">
      <w:start w:val="1"/>
      <w:numFmt w:val="decimal"/>
      <w:lvlText w:val="%7."/>
      <w:lvlJc w:val="left"/>
      <w:pPr>
        <w:tabs>
          <w:tab w:val="num" w:pos="720"/>
        </w:tabs>
        <w:ind w:left="1077" w:hanging="1077"/>
      </w:pPr>
      <w:rPr>
        <w:rFonts w:hint="default"/>
      </w:rPr>
    </w:lvl>
    <w:lvl w:ilvl="7">
      <w:start w:val="1"/>
      <w:numFmt w:val="lowerLetter"/>
      <w:lvlText w:val="%8."/>
      <w:lvlJc w:val="left"/>
      <w:pPr>
        <w:tabs>
          <w:tab w:val="num" w:pos="720"/>
        </w:tabs>
        <w:ind w:left="1077" w:hanging="1077"/>
      </w:pPr>
      <w:rPr>
        <w:rFonts w:hint="default"/>
      </w:rPr>
    </w:lvl>
    <w:lvl w:ilvl="8">
      <w:start w:val="1"/>
      <w:numFmt w:val="lowerRoman"/>
      <w:lvlText w:val="%9."/>
      <w:lvlJc w:val="left"/>
      <w:pPr>
        <w:tabs>
          <w:tab w:val="num" w:pos="720"/>
        </w:tabs>
        <w:ind w:left="1077" w:hanging="1077"/>
      </w:pPr>
      <w:rPr>
        <w:rFonts w:hint="default"/>
      </w:rPr>
    </w:lvl>
  </w:abstractNum>
  <w:abstractNum w:abstractNumId="46">
    <w:nsid w:val="7C521CE7"/>
    <w:multiLevelType w:val="hybridMultilevel"/>
    <w:tmpl w:val="EF842A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2"/>
  </w:num>
  <w:num w:numId="2">
    <w:abstractNumId w:val="31"/>
  </w:num>
  <w:num w:numId="3">
    <w:abstractNumId w:val="21"/>
  </w:num>
  <w:num w:numId="4">
    <w:abstractNumId w:val="45"/>
  </w:num>
  <w:num w:numId="5">
    <w:abstractNumId w:val="27"/>
  </w:num>
  <w:num w:numId="6">
    <w:abstractNumId w:val="0"/>
  </w:num>
  <w:num w:numId="7">
    <w:abstractNumId w:val="24"/>
  </w:num>
  <w:num w:numId="8">
    <w:abstractNumId w:val="16"/>
  </w:num>
  <w:num w:numId="9">
    <w:abstractNumId w:val="2"/>
  </w:num>
  <w:num w:numId="10">
    <w:abstractNumId w:val="10"/>
  </w:num>
  <w:num w:numId="11">
    <w:abstractNumId w:val="7"/>
  </w:num>
  <w:num w:numId="12">
    <w:abstractNumId w:val="38"/>
  </w:num>
  <w:num w:numId="13">
    <w:abstractNumId w:val="8"/>
  </w:num>
  <w:num w:numId="14">
    <w:abstractNumId w:val="37"/>
  </w:num>
  <w:num w:numId="15">
    <w:abstractNumId w:val="43"/>
  </w:num>
  <w:num w:numId="16">
    <w:abstractNumId w:val="33"/>
  </w:num>
  <w:num w:numId="17">
    <w:abstractNumId w:val="6"/>
  </w:num>
  <w:num w:numId="18">
    <w:abstractNumId w:val="14"/>
  </w:num>
  <w:num w:numId="19">
    <w:abstractNumId w:val="44"/>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25"/>
  </w:num>
  <w:num w:numId="23">
    <w:abstractNumId w:val="35"/>
  </w:num>
  <w:num w:numId="24">
    <w:abstractNumId w:val="26"/>
  </w:num>
  <w:num w:numId="25">
    <w:abstractNumId w:val="3"/>
  </w:num>
  <w:num w:numId="26">
    <w:abstractNumId w:val="5"/>
  </w:num>
  <w:num w:numId="27">
    <w:abstractNumId w:val="11"/>
  </w:num>
  <w:num w:numId="28">
    <w:abstractNumId w:val="32"/>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num>
  <w:num w:numId="31">
    <w:abstractNumId w:val="1"/>
  </w:num>
  <w:num w:numId="32">
    <w:abstractNumId w:val="0"/>
  </w:num>
  <w:num w:numId="33">
    <w:abstractNumId w:val="12"/>
  </w:num>
  <w:num w:numId="34">
    <w:abstractNumId w:val="4"/>
  </w:num>
  <w:num w:numId="35">
    <w:abstractNumId w:val="41"/>
  </w:num>
  <w:num w:numId="36">
    <w:abstractNumId w:val="19"/>
  </w:num>
  <w:num w:numId="37">
    <w:abstractNumId w:val="18"/>
  </w:num>
  <w:num w:numId="38">
    <w:abstractNumId w:val="23"/>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29"/>
  </w:num>
  <w:num w:numId="42">
    <w:abstractNumId w:val="28"/>
  </w:num>
  <w:num w:numId="43">
    <w:abstractNumId w:val="17"/>
  </w:num>
  <w:num w:numId="44">
    <w:abstractNumId w:val="13"/>
  </w:num>
  <w:num w:numId="45">
    <w:abstractNumId w:val="22"/>
  </w:num>
  <w:num w:numId="46">
    <w:abstractNumId w:val="9"/>
  </w:num>
  <w:num w:numId="47">
    <w:abstractNumId w:val="15"/>
  </w:num>
  <w:num w:numId="48">
    <w:abstractNumId w:val="40"/>
  </w:num>
  <w:num w:numId="49">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IM_Brand" w:val="D9"/>
  </w:docVars>
  <w:rsids>
    <w:rsidRoot w:val="00240EE6"/>
    <w:rsid w:val="000010DC"/>
    <w:rsid w:val="000010DE"/>
    <w:rsid w:val="00001E38"/>
    <w:rsid w:val="00003730"/>
    <w:rsid w:val="00007453"/>
    <w:rsid w:val="000100D7"/>
    <w:rsid w:val="000128B2"/>
    <w:rsid w:val="00013259"/>
    <w:rsid w:val="00013ACF"/>
    <w:rsid w:val="00013E07"/>
    <w:rsid w:val="00013E7E"/>
    <w:rsid w:val="0001401D"/>
    <w:rsid w:val="00014588"/>
    <w:rsid w:val="00017797"/>
    <w:rsid w:val="00017CC6"/>
    <w:rsid w:val="000236C9"/>
    <w:rsid w:val="00023DD3"/>
    <w:rsid w:val="000246D8"/>
    <w:rsid w:val="00026058"/>
    <w:rsid w:val="00026148"/>
    <w:rsid w:val="0002640F"/>
    <w:rsid w:val="00027484"/>
    <w:rsid w:val="0003083E"/>
    <w:rsid w:val="00030CAD"/>
    <w:rsid w:val="00036D05"/>
    <w:rsid w:val="00036F33"/>
    <w:rsid w:val="00037812"/>
    <w:rsid w:val="000401A3"/>
    <w:rsid w:val="00040853"/>
    <w:rsid w:val="00041D84"/>
    <w:rsid w:val="000441AB"/>
    <w:rsid w:val="00044C79"/>
    <w:rsid w:val="000452F0"/>
    <w:rsid w:val="000457CA"/>
    <w:rsid w:val="00047012"/>
    <w:rsid w:val="000517D5"/>
    <w:rsid w:val="00052A2C"/>
    <w:rsid w:val="000538C4"/>
    <w:rsid w:val="00053BF7"/>
    <w:rsid w:val="00057941"/>
    <w:rsid w:val="00057EAC"/>
    <w:rsid w:val="00060B7E"/>
    <w:rsid w:val="00062103"/>
    <w:rsid w:val="000638F6"/>
    <w:rsid w:val="00063B04"/>
    <w:rsid w:val="00064B50"/>
    <w:rsid w:val="0006566B"/>
    <w:rsid w:val="00066421"/>
    <w:rsid w:val="00067093"/>
    <w:rsid w:val="0007005C"/>
    <w:rsid w:val="00071E7B"/>
    <w:rsid w:val="0007583A"/>
    <w:rsid w:val="00075DF4"/>
    <w:rsid w:val="00076681"/>
    <w:rsid w:val="00081355"/>
    <w:rsid w:val="00081BD5"/>
    <w:rsid w:val="00082924"/>
    <w:rsid w:val="00082A85"/>
    <w:rsid w:val="00083322"/>
    <w:rsid w:val="00083BDD"/>
    <w:rsid w:val="00083DB2"/>
    <w:rsid w:val="000846C4"/>
    <w:rsid w:val="00085DDB"/>
    <w:rsid w:val="0008703A"/>
    <w:rsid w:val="000878B5"/>
    <w:rsid w:val="00092BA2"/>
    <w:rsid w:val="00093463"/>
    <w:rsid w:val="00094FEE"/>
    <w:rsid w:val="00095541"/>
    <w:rsid w:val="0009661B"/>
    <w:rsid w:val="000A126D"/>
    <w:rsid w:val="000A137D"/>
    <w:rsid w:val="000A3D95"/>
    <w:rsid w:val="000A468C"/>
    <w:rsid w:val="000A4C81"/>
    <w:rsid w:val="000A5715"/>
    <w:rsid w:val="000A646A"/>
    <w:rsid w:val="000B2352"/>
    <w:rsid w:val="000B4693"/>
    <w:rsid w:val="000B4850"/>
    <w:rsid w:val="000B487E"/>
    <w:rsid w:val="000B4A35"/>
    <w:rsid w:val="000B54CF"/>
    <w:rsid w:val="000B58D6"/>
    <w:rsid w:val="000B75F7"/>
    <w:rsid w:val="000C173C"/>
    <w:rsid w:val="000C4AE6"/>
    <w:rsid w:val="000C4C62"/>
    <w:rsid w:val="000C5BE3"/>
    <w:rsid w:val="000C7E7E"/>
    <w:rsid w:val="000D0A42"/>
    <w:rsid w:val="000D0D26"/>
    <w:rsid w:val="000D1EA9"/>
    <w:rsid w:val="000D23CD"/>
    <w:rsid w:val="000D3BF2"/>
    <w:rsid w:val="000D40E5"/>
    <w:rsid w:val="000D42A3"/>
    <w:rsid w:val="000D4A11"/>
    <w:rsid w:val="000D64ED"/>
    <w:rsid w:val="000D79FA"/>
    <w:rsid w:val="000D7EE7"/>
    <w:rsid w:val="000E1197"/>
    <w:rsid w:val="000E40AA"/>
    <w:rsid w:val="000E61FD"/>
    <w:rsid w:val="000E6F58"/>
    <w:rsid w:val="000E71D6"/>
    <w:rsid w:val="000E7B79"/>
    <w:rsid w:val="000F06BC"/>
    <w:rsid w:val="000F0880"/>
    <w:rsid w:val="000F0AAD"/>
    <w:rsid w:val="000F112A"/>
    <w:rsid w:val="000F2B6E"/>
    <w:rsid w:val="000F55AB"/>
    <w:rsid w:val="000F7A54"/>
    <w:rsid w:val="00101298"/>
    <w:rsid w:val="001029C9"/>
    <w:rsid w:val="00105563"/>
    <w:rsid w:val="001072A7"/>
    <w:rsid w:val="00107C7F"/>
    <w:rsid w:val="00107CE4"/>
    <w:rsid w:val="001101B4"/>
    <w:rsid w:val="00110EA3"/>
    <w:rsid w:val="00111267"/>
    <w:rsid w:val="001128A0"/>
    <w:rsid w:val="00113E08"/>
    <w:rsid w:val="00117230"/>
    <w:rsid w:val="00117392"/>
    <w:rsid w:val="00117D6D"/>
    <w:rsid w:val="00122789"/>
    <w:rsid w:val="00122BE4"/>
    <w:rsid w:val="00126E08"/>
    <w:rsid w:val="001271E5"/>
    <w:rsid w:val="00127B8B"/>
    <w:rsid w:val="00131C29"/>
    <w:rsid w:val="00134DC7"/>
    <w:rsid w:val="00135333"/>
    <w:rsid w:val="00137415"/>
    <w:rsid w:val="00140DDE"/>
    <w:rsid w:val="00142DE3"/>
    <w:rsid w:val="00143947"/>
    <w:rsid w:val="0014399B"/>
    <w:rsid w:val="001445E9"/>
    <w:rsid w:val="00146543"/>
    <w:rsid w:val="0014732B"/>
    <w:rsid w:val="00150301"/>
    <w:rsid w:val="00151847"/>
    <w:rsid w:val="00154CBC"/>
    <w:rsid w:val="00157671"/>
    <w:rsid w:val="00160835"/>
    <w:rsid w:val="00161F0D"/>
    <w:rsid w:val="00165C01"/>
    <w:rsid w:val="00167329"/>
    <w:rsid w:val="001710D0"/>
    <w:rsid w:val="001716CA"/>
    <w:rsid w:val="00171FFC"/>
    <w:rsid w:val="0017265B"/>
    <w:rsid w:val="00172665"/>
    <w:rsid w:val="00172A88"/>
    <w:rsid w:val="00173CB5"/>
    <w:rsid w:val="00173FDD"/>
    <w:rsid w:val="00180223"/>
    <w:rsid w:val="0018090E"/>
    <w:rsid w:val="00183D71"/>
    <w:rsid w:val="001840E8"/>
    <w:rsid w:val="00184DB5"/>
    <w:rsid w:val="00185017"/>
    <w:rsid w:val="001851DC"/>
    <w:rsid w:val="00186102"/>
    <w:rsid w:val="00186984"/>
    <w:rsid w:val="00187439"/>
    <w:rsid w:val="0019034F"/>
    <w:rsid w:val="00192B4F"/>
    <w:rsid w:val="00193025"/>
    <w:rsid w:val="00194122"/>
    <w:rsid w:val="0019556A"/>
    <w:rsid w:val="001A1B7F"/>
    <w:rsid w:val="001A2080"/>
    <w:rsid w:val="001A64D3"/>
    <w:rsid w:val="001B06F8"/>
    <w:rsid w:val="001B0BE2"/>
    <w:rsid w:val="001B384B"/>
    <w:rsid w:val="001B4E65"/>
    <w:rsid w:val="001B4EF7"/>
    <w:rsid w:val="001B5085"/>
    <w:rsid w:val="001C0E53"/>
    <w:rsid w:val="001C1564"/>
    <w:rsid w:val="001C1FE6"/>
    <w:rsid w:val="001C2314"/>
    <w:rsid w:val="001C2805"/>
    <w:rsid w:val="001C3B81"/>
    <w:rsid w:val="001C41B2"/>
    <w:rsid w:val="001C4C53"/>
    <w:rsid w:val="001D1A71"/>
    <w:rsid w:val="001D2967"/>
    <w:rsid w:val="001D2C8E"/>
    <w:rsid w:val="001D57FF"/>
    <w:rsid w:val="001D61FB"/>
    <w:rsid w:val="001D6D75"/>
    <w:rsid w:val="001E0AD2"/>
    <w:rsid w:val="001E1E3C"/>
    <w:rsid w:val="001E2B2B"/>
    <w:rsid w:val="001E3400"/>
    <w:rsid w:val="001E5C13"/>
    <w:rsid w:val="001F04B6"/>
    <w:rsid w:val="001F324A"/>
    <w:rsid w:val="001F7FD3"/>
    <w:rsid w:val="0020138F"/>
    <w:rsid w:val="0020281C"/>
    <w:rsid w:val="0020283D"/>
    <w:rsid w:val="00205A45"/>
    <w:rsid w:val="002060EC"/>
    <w:rsid w:val="002103E5"/>
    <w:rsid w:val="00210BFA"/>
    <w:rsid w:val="0021256C"/>
    <w:rsid w:val="0021297F"/>
    <w:rsid w:val="00212A9C"/>
    <w:rsid w:val="002132AA"/>
    <w:rsid w:val="00213309"/>
    <w:rsid w:val="00216317"/>
    <w:rsid w:val="002170E5"/>
    <w:rsid w:val="00220AD8"/>
    <w:rsid w:val="00221291"/>
    <w:rsid w:val="0022261B"/>
    <w:rsid w:val="00222AEC"/>
    <w:rsid w:val="00222C31"/>
    <w:rsid w:val="0022305F"/>
    <w:rsid w:val="00224882"/>
    <w:rsid w:val="00225037"/>
    <w:rsid w:val="002304B7"/>
    <w:rsid w:val="00231284"/>
    <w:rsid w:val="00231A3C"/>
    <w:rsid w:val="00232132"/>
    <w:rsid w:val="00233517"/>
    <w:rsid w:val="00233CC5"/>
    <w:rsid w:val="00234271"/>
    <w:rsid w:val="00234296"/>
    <w:rsid w:val="002344CE"/>
    <w:rsid w:val="00234BA5"/>
    <w:rsid w:val="00235142"/>
    <w:rsid w:val="00240EE6"/>
    <w:rsid w:val="00241199"/>
    <w:rsid w:val="00241A05"/>
    <w:rsid w:val="00246093"/>
    <w:rsid w:val="00246EED"/>
    <w:rsid w:val="00252010"/>
    <w:rsid w:val="00252A2D"/>
    <w:rsid w:val="00252D30"/>
    <w:rsid w:val="00253589"/>
    <w:rsid w:val="002559CE"/>
    <w:rsid w:val="002563AB"/>
    <w:rsid w:val="002578D7"/>
    <w:rsid w:val="00257999"/>
    <w:rsid w:val="002606B6"/>
    <w:rsid w:val="002630B2"/>
    <w:rsid w:val="00263EE8"/>
    <w:rsid w:val="00265265"/>
    <w:rsid w:val="0026553B"/>
    <w:rsid w:val="00265EAB"/>
    <w:rsid w:val="0027043F"/>
    <w:rsid w:val="00270847"/>
    <w:rsid w:val="002736A2"/>
    <w:rsid w:val="002744D2"/>
    <w:rsid w:val="00275D10"/>
    <w:rsid w:val="0027789D"/>
    <w:rsid w:val="00277F44"/>
    <w:rsid w:val="00280092"/>
    <w:rsid w:val="00280395"/>
    <w:rsid w:val="00281D2F"/>
    <w:rsid w:val="00282899"/>
    <w:rsid w:val="00284722"/>
    <w:rsid w:val="002850A3"/>
    <w:rsid w:val="00286734"/>
    <w:rsid w:val="00287CA1"/>
    <w:rsid w:val="00287E7E"/>
    <w:rsid w:val="00290637"/>
    <w:rsid w:val="00291EA2"/>
    <w:rsid w:val="00294F5A"/>
    <w:rsid w:val="00294FFD"/>
    <w:rsid w:val="00295F03"/>
    <w:rsid w:val="002A0DCF"/>
    <w:rsid w:val="002A1C19"/>
    <w:rsid w:val="002A2438"/>
    <w:rsid w:val="002A38C0"/>
    <w:rsid w:val="002B1996"/>
    <w:rsid w:val="002B1D5E"/>
    <w:rsid w:val="002B3004"/>
    <w:rsid w:val="002B37CD"/>
    <w:rsid w:val="002B52F7"/>
    <w:rsid w:val="002B548F"/>
    <w:rsid w:val="002B63C1"/>
    <w:rsid w:val="002C03E9"/>
    <w:rsid w:val="002C17AD"/>
    <w:rsid w:val="002C2316"/>
    <w:rsid w:val="002C334E"/>
    <w:rsid w:val="002C34C2"/>
    <w:rsid w:val="002C48E6"/>
    <w:rsid w:val="002C49C2"/>
    <w:rsid w:val="002C67C0"/>
    <w:rsid w:val="002C778E"/>
    <w:rsid w:val="002C788A"/>
    <w:rsid w:val="002D0D30"/>
    <w:rsid w:val="002D2A53"/>
    <w:rsid w:val="002D36F4"/>
    <w:rsid w:val="002D5BF0"/>
    <w:rsid w:val="002D7014"/>
    <w:rsid w:val="002E0539"/>
    <w:rsid w:val="002E3C3B"/>
    <w:rsid w:val="002E4566"/>
    <w:rsid w:val="002E66D3"/>
    <w:rsid w:val="002F042B"/>
    <w:rsid w:val="002F4622"/>
    <w:rsid w:val="002F4B44"/>
    <w:rsid w:val="002F55F9"/>
    <w:rsid w:val="002F5C58"/>
    <w:rsid w:val="00300748"/>
    <w:rsid w:val="00301D24"/>
    <w:rsid w:val="0030297A"/>
    <w:rsid w:val="00303170"/>
    <w:rsid w:val="00304829"/>
    <w:rsid w:val="00305045"/>
    <w:rsid w:val="00305B2A"/>
    <w:rsid w:val="003060C2"/>
    <w:rsid w:val="003071E6"/>
    <w:rsid w:val="00307324"/>
    <w:rsid w:val="0031003F"/>
    <w:rsid w:val="003103FC"/>
    <w:rsid w:val="003105E3"/>
    <w:rsid w:val="00311B6C"/>
    <w:rsid w:val="0031327B"/>
    <w:rsid w:val="00313D34"/>
    <w:rsid w:val="003159C3"/>
    <w:rsid w:val="00315C85"/>
    <w:rsid w:val="003166DC"/>
    <w:rsid w:val="00317B7E"/>
    <w:rsid w:val="003212BA"/>
    <w:rsid w:val="003213C8"/>
    <w:rsid w:val="003227A5"/>
    <w:rsid w:val="003271C7"/>
    <w:rsid w:val="0032758A"/>
    <w:rsid w:val="0033095A"/>
    <w:rsid w:val="00330A8C"/>
    <w:rsid w:val="00330D06"/>
    <w:rsid w:val="00333C57"/>
    <w:rsid w:val="003353A5"/>
    <w:rsid w:val="00335E29"/>
    <w:rsid w:val="003368A7"/>
    <w:rsid w:val="003371E3"/>
    <w:rsid w:val="0034139B"/>
    <w:rsid w:val="003413B3"/>
    <w:rsid w:val="0034381F"/>
    <w:rsid w:val="003440C3"/>
    <w:rsid w:val="00345C1C"/>
    <w:rsid w:val="00346C32"/>
    <w:rsid w:val="00346F85"/>
    <w:rsid w:val="0035047C"/>
    <w:rsid w:val="00351E79"/>
    <w:rsid w:val="00353F28"/>
    <w:rsid w:val="003549C8"/>
    <w:rsid w:val="0035710D"/>
    <w:rsid w:val="003574F5"/>
    <w:rsid w:val="003616F6"/>
    <w:rsid w:val="00362BBA"/>
    <w:rsid w:val="0036512C"/>
    <w:rsid w:val="00365F75"/>
    <w:rsid w:val="003675A1"/>
    <w:rsid w:val="003708C7"/>
    <w:rsid w:val="00370C1F"/>
    <w:rsid w:val="00373240"/>
    <w:rsid w:val="003737CA"/>
    <w:rsid w:val="0037421F"/>
    <w:rsid w:val="00374913"/>
    <w:rsid w:val="00375C67"/>
    <w:rsid w:val="003762D5"/>
    <w:rsid w:val="003816A2"/>
    <w:rsid w:val="00382AB4"/>
    <w:rsid w:val="003834C8"/>
    <w:rsid w:val="0038398B"/>
    <w:rsid w:val="00384963"/>
    <w:rsid w:val="00386ACF"/>
    <w:rsid w:val="0039101A"/>
    <w:rsid w:val="00391110"/>
    <w:rsid w:val="00394506"/>
    <w:rsid w:val="00395AB7"/>
    <w:rsid w:val="00397B1F"/>
    <w:rsid w:val="003A057F"/>
    <w:rsid w:val="003A0756"/>
    <w:rsid w:val="003A0C5D"/>
    <w:rsid w:val="003A51BF"/>
    <w:rsid w:val="003A680B"/>
    <w:rsid w:val="003A70FF"/>
    <w:rsid w:val="003A78BD"/>
    <w:rsid w:val="003A7A1C"/>
    <w:rsid w:val="003B14BE"/>
    <w:rsid w:val="003B52F3"/>
    <w:rsid w:val="003B69FF"/>
    <w:rsid w:val="003C27AC"/>
    <w:rsid w:val="003C7763"/>
    <w:rsid w:val="003D5821"/>
    <w:rsid w:val="003D5A56"/>
    <w:rsid w:val="003D6963"/>
    <w:rsid w:val="003D69A1"/>
    <w:rsid w:val="003E0735"/>
    <w:rsid w:val="003E0974"/>
    <w:rsid w:val="003E14E9"/>
    <w:rsid w:val="003E1E2C"/>
    <w:rsid w:val="003E2679"/>
    <w:rsid w:val="003E2E7E"/>
    <w:rsid w:val="003E30FF"/>
    <w:rsid w:val="003E3875"/>
    <w:rsid w:val="003E3D9B"/>
    <w:rsid w:val="003E4875"/>
    <w:rsid w:val="003E5D03"/>
    <w:rsid w:val="003E7D4C"/>
    <w:rsid w:val="003F071B"/>
    <w:rsid w:val="003F0F81"/>
    <w:rsid w:val="003F13EA"/>
    <w:rsid w:val="003F1D1F"/>
    <w:rsid w:val="003F244C"/>
    <w:rsid w:val="003F382C"/>
    <w:rsid w:val="003F3CEA"/>
    <w:rsid w:val="003F7CC7"/>
    <w:rsid w:val="003F7FD3"/>
    <w:rsid w:val="00400F19"/>
    <w:rsid w:val="00404C38"/>
    <w:rsid w:val="004053CE"/>
    <w:rsid w:val="00407DA5"/>
    <w:rsid w:val="00410D2B"/>
    <w:rsid w:val="004115C1"/>
    <w:rsid w:val="0041234A"/>
    <w:rsid w:val="00412854"/>
    <w:rsid w:val="004146F8"/>
    <w:rsid w:val="00417D79"/>
    <w:rsid w:val="00420677"/>
    <w:rsid w:val="0042161F"/>
    <w:rsid w:val="00421D3C"/>
    <w:rsid w:val="00423E8D"/>
    <w:rsid w:val="004241F9"/>
    <w:rsid w:val="00425F01"/>
    <w:rsid w:val="0042603A"/>
    <w:rsid w:val="004262F4"/>
    <w:rsid w:val="00427E16"/>
    <w:rsid w:val="004307ED"/>
    <w:rsid w:val="00436F61"/>
    <w:rsid w:val="00437AF3"/>
    <w:rsid w:val="004430FE"/>
    <w:rsid w:val="004435AC"/>
    <w:rsid w:val="00443CAE"/>
    <w:rsid w:val="0044571A"/>
    <w:rsid w:val="00445B54"/>
    <w:rsid w:val="004471C5"/>
    <w:rsid w:val="0045015F"/>
    <w:rsid w:val="00450760"/>
    <w:rsid w:val="004541AF"/>
    <w:rsid w:val="004543D5"/>
    <w:rsid w:val="0045516E"/>
    <w:rsid w:val="0045605A"/>
    <w:rsid w:val="00457F7B"/>
    <w:rsid w:val="004658F3"/>
    <w:rsid w:val="004674E5"/>
    <w:rsid w:val="00470861"/>
    <w:rsid w:val="004711F4"/>
    <w:rsid w:val="00472768"/>
    <w:rsid w:val="004740F6"/>
    <w:rsid w:val="00481E82"/>
    <w:rsid w:val="00482DDC"/>
    <w:rsid w:val="004857E5"/>
    <w:rsid w:val="00485908"/>
    <w:rsid w:val="00486DC8"/>
    <w:rsid w:val="0048750A"/>
    <w:rsid w:val="00487E08"/>
    <w:rsid w:val="004911B1"/>
    <w:rsid w:val="00492528"/>
    <w:rsid w:val="0049505F"/>
    <w:rsid w:val="00495D13"/>
    <w:rsid w:val="00495F2C"/>
    <w:rsid w:val="00497387"/>
    <w:rsid w:val="004A0809"/>
    <w:rsid w:val="004A1A36"/>
    <w:rsid w:val="004A5F40"/>
    <w:rsid w:val="004A633D"/>
    <w:rsid w:val="004A6876"/>
    <w:rsid w:val="004A76D2"/>
    <w:rsid w:val="004B3475"/>
    <w:rsid w:val="004B653D"/>
    <w:rsid w:val="004B7392"/>
    <w:rsid w:val="004C311D"/>
    <w:rsid w:val="004C7AF9"/>
    <w:rsid w:val="004C7F88"/>
    <w:rsid w:val="004D08A7"/>
    <w:rsid w:val="004D08C2"/>
    <w:rsid w:val="004D2D73"/>
    <w:rsid w:val="004D3142"/>
    <w:rsid w:val="004D4CA7"/>
    <w:rsid w:val="004E0C6D"/>
    <w:rsid w:val="004E3F8B"/>
    <w:rsid w:val="004E6E0C"/>
    <w:rsid w:val="004F042E"/>
    <w:rsid w:val="004F0D35"/>
    <w:rsid w:val="004F164E"/>
    <w:rsid w:val="004F3AFD"/>
    <w:rsid w:val="004F50AC"/>
    <w:rsid w:val="004F759C"/>
    <w:rsid w:val="005015D2"/>
    <w:rsid w:val="00503857"/>
    <w:rsid w:val="00504B5A"/>
    <w:rsid w:val="00506724"/>
    <w:rsid w:val="00506BAF"/>
    <w:rsid w:val="00507DC9"/>
    <w:rsid w:val="005100D1"/>
    <w:rsid w:val="0051085D"/>
    <w:rsid w:val="00510AF0"/>
    <w:rsid w:val="00511F67"/>
    <w:rsid w:val="00512753"/>
    <w:rsid w:val="00514A42"/>
    <w:rsid w:val="005155C5"/>
    <w:rsid w:val="00517805"/>
    <w:rsid w:val="00517F7C"/>
    <w:rsid w:val="00521109"/>
    <w:rsid w:val="005219F4"/>
    <w:rsid w:val="005230AD"/>
    <w:rsid w:val="0052385F"/>
    <w:rsid w:val="00523DEC"/>
    <w:rsid w:val="00524A79"/>
    <w:rsid w:val="005252A4"/>
    <w:rsid w:val="00527244"/>
    <w:rsid w:val="005277E5"/>
    <w:rsid w:val="00527FD7"/>
    <w:rsid w:val="00532145"/>
    <w:rsid w:val="00534B6F"/>
    <w:rsid w:val="00544880"/>
    <w:rsid w:val="0054621C"/>
    <w:rsid w:val="0054651C"/>
    <w:rsid w:val="0054766A"/>
    <w:rsid w:val="00547749"/>
    <w:rsid w:val="00552425"/>
    <w:rsid w:val="00554606"/>
    <w:rsid w:val="005565F2"/>
    <w:rsid w:val="005573A6"/>
    <w:rsid w:val="00557497"/>
    <w:rsid w:val="005577F1"/>
    <w:rsid w:val="0056048D"/>
    <w:rsid w:val="005606C0"/>
    <w:rsid w:val="005607EB"/>
    <w:rsid w:val="0056438F"/>
    <w:rsid w:val="00564852"/>
    <w:rsid w:val="00566225"/>
    <w:rsid w:val="0056752F"/>
    <w:rsid w:val="005679FA"/>
    <w:rsid w:val="00570697"/>
    <w:rsid w:val="0058122A"/>
    <w:rsid w:val="0058421B"/>
    <w:rsid w:val="0058521C"/>
    <w:rsid w:val="005852A2"/>
    <w:rsid w:val="00587C9F"/>
    <w:rsid w:val="00590AF1"/>
    <w:rsid w:val="00590C6B"/>
    <w:rsid w:val="00590F94"/>
    <w:rsid w:val="005913DF"/>
    <w:rsid w:val="00594102"/>
    <w:rsid w:val="00594CC8"/>
    <w:rsid w:val="005A06AD"/>
    <w:rsid w:val="005A1840"/>
    <w:rsid w:val="005A3CE5"/>
    <w:rsid w:val="005A5FFA"/>
    <w:rsid w:val="005A6707"/>
    <w:rsid w:val="005A6BCA"/>
    <w:rsid w:val="005A71F6"/>
    <w:rsid w:val="005B0367"/>
    <w:rsid w:val="005B039A"/>
    <w:rsid w:val="005B0C93"/>
    <w:rsid w:val="005B10A9"/>
    <w:rsid w:val="005B1DB5"/>
    <w:rsid w:val="005B1FAF"/>
    <w:rsid w:val="005B4B52"/>
    <w:rsid w:val="005B584A"/>
    <w:rsid w:val="005B7724"/>
    <w:rsid w:val="005C208E"/>
    <w:rsid w:val="005C3A4F"/>
    <w:rsid w:val="005C4825"/>
    <w:rsid w:val="005C6EBD"/>
    <w:rsid w:val="005C70EB"/>
    <w:rsid w:val="005C7441"/>
    <w:rsid w:val="005D050D"/>
    <w:rsid w:val="005D1D0F"/>
    <w:rsid w:val="005D20DA"/>
    <w:rsid w:val="005D3E63"/>
    <w:rsid w:val="005D43BA"/>
    <w:rsid w:val="005D7117"/>
    <w:rsid w:val="005D778C"/>
    <w:rsid w:val="005E1A3A"/>
    <w:rsid w:val="005E55C1"/>
    <w:rsid w:val="005E59B9"/>
    <w:rsid w:val="005E5C4E"/>
    <w:rsid w:val="005E5E1F"/>
    <w:rsid w:val="005E72EC"/>
    <w:rsid w:val="005F04D9"/>
    <w:rsid w:val="005F2881"/>
    <w:rsid w:val="005F29E4"/>
    <w:rsid w:val="005F2A41"/>
    <w:rsid w:val="005F42AF"/>
    <w:rsid w:val="005F65A3"/>
    <w:rsid w:val="006031D6"/>
    <w:rsid w:val="00605AE4"/>
    <w:rsid w:val="00607320"/>
    <w:rsid w:val="006100D5"/>
    <w:rsid w:val="00613B39"/>
    <w:rsid w:val="0061459C"/>
    <w:rsid w:val="0061693B"/>
    <w:rsid w:val="00617B33"/>
    <w:rsid w:val="00617D31"/>
    <w:rsid w:val="00622132"/>
    <w:rsid w:val="00622198"/>
    <w:rsid w:val="00627A0D"/>
    <w:rsid w:val="0063635A"/>
    <w:rsid w:val="00636C5D"/>
    <w:rsid w:val="00637852"/>
    <w:rsid w:val="00640163"/>
    <w:rsid w:val="00640DA2"/>
    <w:rsid w:val="006416D1"/>
    <w:rsid w:val="00641813"/>
    <w:rsid w:val="006421AF"/>
    <w:rsid w:val="00642EA4"/>
    <w:rsid w:val="0064586D"/>
    <w:rsid w:val="00647976"/>
    <w:rsid w:val="0065080A"/>
    <w:rsid w:val="0065096C"/>
    <w:rsid w:val="006514AA"/>
    <w:rsid w:val="00651760"/>
    <w:rsid w:val="0065276E"/>
    <w:rsid w:val="00652D8B"/>
    <w:rsid w:val="006544EB"/>
    <w:rsid w:val="006558A6"/>
    <w:rsid w:val="0065733B"/>
    <w:rsid w:val="006602E0"/>
    <w:rsid w:val="00660597"/>
    <w:rsid w:val="006611B1"/>
    <w:rsid w:val="00661F64"/>
    <w:rsid w:val="00662FA7"/>
    <w:rsid w:val="00664D75"/>
    <w:rsid w:val="00664E4A"/>
    <w:rsid w:val="00665816"/>
    <w:rsid w:val="00666A7E"/>
    <w:rsid w:val="00666FBA"/>
    <w:rsid w:val="0066700D"/>
    <w:rsid w:val="006700ED"/>
    <w:rsid w:val="00670402"/>
    <w:rsid w:val="00671D8F"/>
    <w:rsid w:val="00673FEB"/>
    <w:rsid w:val="00675986"/>
    <w:rsid w:val="006759C2"/>
    <w:rsid w:val="00675E55"/>
    <w:rsid w:val="0067639C"/>
    <w:rsid w:val="00676C8A"/>
    <w:rsid w:val="00677CB3"/>
    <w:rsid w:val="00677F90"/>
    <w:rsid w:val="006804B2"/>
    <w:rsid w:val="006813EE"/>
    <w:rsid w:val="0068140F"/>
    <w:rsid w:val="00681ACA"/>
    <w:rsid w:val="00682F1B"/>
    <w:rsid w:val="00683E06"/>
    <w:rsid w:val="0068564F"/>
    <w:rsid w:val="006870CF"/>
    <w:rsid w:val="006870D6"/>
    <w:rsid w:val="00687304"/>
    <w:rsid w:val="00687B65"/>
    <w:rsid w:val="00687D1C"/>
    <w:rsid w:val="006900CA"/>
    <w:rsid w:val="00690128"/>
    <w:rsid w:val="00690A77"/>
    <w:rsid w:val="00691AD8"/>
    <w:rsid w:val="00692939"/>
    <w:rsid w:val="006964CC"/>
    <w:rsid w:val="0069772A"/>
    <w:rsid w:val="00697B38"/>
    <w:rsid w:val="006A07D6"/>
    <w:rsid w:val="006A093C"/>
    <w:rsid w:val="006A0A93"/>
    <w:rsid w:val="006A1DE9"/>
    <w:rsid w:val="006A32C7"/>
    <w:rsid w:val="006A3EA1"/>
    <w:rsid w:val="006A440E"/>
    <w:rsid w:val="006A7BCD"/>
    <w:rsid w:val="006B0A9F"/>
    <w:rsid w:val="006B0EA4"/>
    <w:rsid w:val="006B1ED3"/>
    <w:rsid w:val="006B223A"/>
    <w:rsid w:val="006B3963"/>
    <w:rsid w:val="006B70FD"/>
    <w:rsid w:val="006B7532"/>
    <w:rsid w:val="006B7E08"/>
    <w:rsid w:val="006C1422"/>
    <w:rsid w:val="006C1532"/>
    <w:rsid w:val="006C2082"/>
    <w:rsid w:val="006C24D7"/>
    <w:rsid w:val="006C303A"/>
    <w:rsid w:val="006C40A7"/>
    <w:rsid w:val="006C51A9"/>
    <w:rsid w:val="006C5201"/>
    <w:rsid w:val="006C52E9"/>
    <w:rsid w:val="006C5658"/>
    <w:rsid w:val="006C58C9"/>
    <w:rsid w:val="006C7543"/>
    <w:rsid w:val="006D11BE"/>
    <w:rsid w:val="006D203B"/>
    <w:rsid w:val="006D261E"/>
    <w:rsid w:val="006D636E"/>
    <w:rsid w:val="006D7BB8"/>
    <w:rsid w:val="006D7C94"/>
    <w:rsid w:val="006E0396"/>
    <w:rsid w:val="006E116F"/>
    <w:rsid w:val="006E17C0"/>
    <w:rsid w:val="006E1E11"/>
    <w:rsid w:val="006E385A"/>
    <w:rsid w:val="006E5F6F"/>
    <w:rsid w:val="006F09FA"/>
    <w:rsid w:val="006F0A96"/>
    <w:rsid w:val="006F5D27"/>
    <w:rsid w:val="006F60F7"/>
    <w:rsid w:val="007009A8"/>
    <w:rsid w:val="00700A1B"/>
    <w:rsid w:val="00701068"/>
    <w:rsid w:val="00701D36"/>
    <w:rsid w:val="00701F50"/>
    <w:rsid w:val="007051CA"/>
    <w:rsid w:val="007063B4"/>
    <w:rsid w:val="0071020D"/>
    <w:rsid w:val="00710435"/>
    <w:rsid w:val="007151EC"/>
    <w:rsid w:val="00715748"/>
    <w:rsid w:val="007166F4"/>
    <w:rsid w:val="00717335"/>
    <w:rsid w:val="007200EF"/>
    <w:rsid w:val="00723DE3"/>
    <w:rsid w:val="00730355"/>
    <w:rsid w:val="007324DF"/>
    <w:rsid w:val="00733195"/>
    <w:rsid w:val="0073369D"/>
    <w:rsid w:val="007337C6"/>
    <w:rsid w:val="00733FA9"/>
    <w:rsid w:val="0073424F"/>
    <w:rsid w:val="0073444A"/>
    <w:rsid w:val="0073556C"/>
    <w:rsid w:val="00735FEE"/>
    <w:rsid w:val="0073670A"/>
    <w:rsid w:val="00737CBF"/>
    <w:rsid w:val="00741ECF"/>
    <w:rsid w:val="0074434C"/>
    <w:rsid w:val="00746ACE"/>
    <w:rsid w:val="00752805"/>
    <w:rsid w:val="007535B5"/>
    <w:rsid w:val="00754C7B"/>
    <w:rsid w:val="00754F34"/>
    <w:rsid w:val="0075583C"/>
    <w:rsid w:val="00756022"/>
    <w:rsid w:val="007578C9"/>
    <w:rsid w:val="00762C3A"/>
    <w:rsid w:val="00766A80"/>
    <w:rsid w:val="007670E8"/>
    <w:rsid w:val="00774954"/>
    <w:rsid w:val="00775262"/>
    <w:rsid w:val="00775F68"/>
    <w:rsid w:val="00777305"/>
    <w:rsid w:val="00780280"/>
    <w:rsid w:val="00782253"/>
    <w:rsid w:val="00783591"/>
    <w:rsid w:val="007839E0"/>
    <w:rsid w:val="007843DD"/>
    <w:rsid w:val="0078498F"/>
    <w:rsid w:val="007852A4"/>
    <w:rsid w:val="00786B8A"/>
    <w:rsid w:val="0078796F"/>
    <w:rsid w:val="00787B21"/>
    <w:rsid w:val="0079102B"/>
    <w:rsid w:val="00793830"/>
    <w:rsid w:val="00793BA1"/>
    <w:rsid w:val="00793D32"/>
    <w:rsid w:val="00795293"/>
    <w:rsid w:val="007955BA"/>
    <w:rsid w:val="00795601"/>
    <w:rsid w:val="00795852"/>
    <w:rsid w:val="00795888"/>
    <w:rsid w:val="007971BE"/>
    <w:rsid w:val="007A277E"/>
    <w:rsid w:val="007A3CD6"/>
    <w:rsid w:val="007A5220"/>
    <w:rsid w:val="007A747B"/>
    <w:rsid w:val="007A7B80"/>
    <w:rsid w:val="007A7FC4"/>
    <w:rsid w:val="007B0679"/>
    <w:rsid w:val="007B0899"/>
    <w:rsid w:val="007B1F50"/>
    <w:rsid w:val="007B3403"/>
    <w:rsid w:val="007C035D"/>
    <w:rsid w:val="007C2909"/>
    <w:rsid w:val="007C3DC7"/>
    <w:rsid w:val="007C406D"/>
    <w:rsid w:val="007C4761"/>
    <w:rsid w:val="007C5EC7"/>
    <w:rsid w:val="007D071D"/>
    <w:rsid w:val="007D07E8"/>
    <w:rsid w:val="007D13AA"/>
    <w:rsid w:val="007E005A"/>
    <w:rsid w:val="007E106F"/>
    <w:rsid w:val="007E3ECC"/>
    <w:rsid w:val="007E49F5"/>
    <w:rsid w:val="007E5F11"/>
    <w:rsid w:val="007E658D"/>
    <w:rsid w:val="007E687C"/>
    <w:rsid w:val="007F0AD5"/>
    <w:rsid w:val="007F1A93"/>
    <w:rsid w:val="007F24D6"/>
    <w:rsid w:val="007F51CD"/>
    <w:rsid w:val="007F5BF8"/>
    <w:rsid w:val="00800D98"/>
    <w:rsid w:val="00804975"/>
    <w:rsid w:val="00805475"/>
    <w:rsid w:val="00805B59"/>
    <w:rsid w:val="00806945"/>
    <w:rsid w:val="008108A3"/>
    <w:rsid w:val="00810D1F"/>
    <w:rsid w:val="00811062"/>
    <w:rsid w:val="00811412"/>
    <w:rsid w:val="00811682"/>
    <w:rsid w:val="0081436C"/>
    <w:rsid w:val="0081487B"/>
    <w:rsid w:val="00816149"/>
    <w:rsid w:val="008207FD"/>
    <w:rsid w:val="0082373D"/>
    <w:rsid w:val="00824DE3"/>
    <w:rsid w:val="0082633A"/>
    <w:rsid w:val="00831139"/>
    <w:rsid w:val="00831B3E"/>
    <w:rsid w:val="0083335F"/>
    <w:rsid w:val="00833AE9"/>
    <w:rsid w:val="0083430F"/>
    <w:rsid w:val="00835C8F"/>
    <w:rsid w:val="008369A3"/>
    <w:rsid w:val="008416FB"/>
    <w:rsid w:val="008417D5"/>
    <w:rsid w:val="00842072"/>
    <w:rsid w:val="008427ED"/>
    <w:rsid w:val="008443F4"/>
    <w:rsid w:val="00844563"/>
    <w:rsid w:val="00844BBF"/>
    <w:rsid w:val="00846FB0"/>
    <w:rsid w:val="00857746"/>
    <w:rsid w:val="008611EF"/>
    <w:rsid w:val="00861225"/>
    <w:rsid w:val="00862822"/>
    <w:rsid w:val="00862A57"/>
    <w:rsid w:val="0086328A"/>
    <w:rsid w:val="00864049"/>
    <w:rsid w:val="00864352"/>
    <w:rsid w:val="00865582"/>
    <w:rsid w:val="00865FDA"/>
    <w:rsid w:val="00866EF4"/>
    <w:rsid w:val="0086709B"/>
    <w:rsid w:val="00871286"/>
    <w:rsid w:val="008757B5"/>
    <w:rsid w:val="00876ED0"/>
    <w:rsid w:val="008770F6"/>
    <w:rsid w:val="008774A7"/>
    <w:rsid w:val="0088060F"/>
    <w:rsid w:val="008807EF"/>
    <w:rsid w:val="00881004"/>
    <w:rsid w:val="008818F2"/>
    <w:rsid w:val="00882423"/>
    <w:rsid w:val="00882E38"/>
    <w:rsid w:val="00884B39"/>
    <w:rsid w:val="008871CD"/>
    <w:rsid w:val="0089039D"/>
    <w:rsid w:val="0089512D"/>
    <w:rsid w:val="008969A7"/>
    <w:rsid w:val="008A3AAE"/>
    <w:rsid w:val="008A507D"/>
    <w:rsid w:val="008A71B6"/>
    <w:rsid w:val="008B15DC"/>
    <w:rsid w:val="008B24E1"/>
    <w:rsid w:val="008B5C37"/>
    <w:rsid w:val="008B7C6A"/>
    <w:rsid w:val="008C0444"/>
    <w:rsid w:val="008C2D6E"/>
    <w:rsid w:val="008C3075"/>
    <w:rsid w:val="008C3BA3"/>
    <w:rsid w:val="008C6266"/>
    <w:rsid w:val="008D0453"/>
    <w:rsid w:val="008D39A3"/>
    <w:rsid w:val="008D4159"/>
    <w:rsid w:val="008D5D42"/>
    <w:rsid w:val="008D7197"/>
    <w:rsid w:val="008E1B53"/>
    <w:rsid w:val="008E3ABC"/>
    <w:rsid w:val="008E588E"/>
    <w:rsid w:val="008E6F57"/>
    <w:rsid w:val="008E717D"/>
    <w:rsid w:val="008E79B6"/>
    <w:rsid w:val="008F1A4F"/>
    <w:rsid w:val="008F1BF7"/>
    <w:rsid w:val="008F2885"/>
    <w:rsid w:val="008F2D32"/>
    <w:rsid w:val="008F3667"/>
    <w:rsid w:val="008F3869"/>
    <w:rsid w:val="008F3FB1"/>
    <w:rsid w:val="008F3FE8"/>
    <w:rsid w:val="008F3FFC"/>
    <w:rsid w:val="008F50C3"/>
    <w:rsid w:val="008F6DBB"/>
    <w:rsid w:val="008F7362"/>
    <w:rsid w:val="00901CF6"/>
    <w:rsid w:val="00903766"/>
    <w:rsid w:val="00903A29"/>
    <w:rsid w:val="00903CCF"/>
    <w:rsid w:val="009044E2"/>
    <w:rsid w:val="009053D9"/>
    <w:rsid w:val="009058FA"/>
    <w:rsid w:val="00905E7C"/>
    <w:rsid w:val="009061DF"/>
    <w:rsid w:val="009073ED"/>
    <w:rsid w:val="0091090E"/>
    <w:rsid w:val="00914DB5"/>
    <w:rsid w:val="00914ECD"/>
    <w:rsid w:val="00916F9E"/>
    <w:rsid w:val="00917D44"/>
    <w:rsid w:val="00917D9C"/>
    <w:rsid w:val="00921AB8"/>
    <w:rsid w:val="00923670"/>
    <w:rsid w:val="00923741"/>
    <w:rsid w:val="00930186"/>
    <w:rsid w:val="00932071"/>
    <w:rsid w:val="00932320"/>
    <w:rsid w:val="009339A8"/>
    <w:rsid w:val="009340C2"/>
    <w:rsid w:val="0093490B"/>
    <w:rsid w:val="00937ECB"/>
    <w:rsid w:val="00940120"/>
    <w:rsid w:val="0094027F"/>
    <w:rsid w:val="0094053D"/>
    <w:rsid w:val="00940B7F"/>
    <w:rsid w:val="00942F66"/>
    <w:rsid w:val="009459C4"/>
    <w:rsid w:val="009459CE"/>
    <w:rsid w:val="0094656A"/>
    <w:rsid w:val="00950A50"/>
    <w:rsid w:val="00950D28"/>
    <w:rsid w:val="0095189B"/>
    <w:rsid w:val="00952E95"/>
    <w:rsid w:val="00953BEF"/>
    <w:rsid w:val="009544F3"/>
    <w:rsid w:val="0095520D"/>
    <w:rsid w:val="0095592B"/>
    <w:rsid w:val="009617AD"/>
    <w:rsid w:val="00963B84"/>
    <w:rsid w:val="00964497"/>
    <w:rsid w:val="00971146"/>
    <w:rsid w:val="00971624"/>
    <w:rsid w:val="00971C11"/>
    <w:rsid w:val="00972897"/>
    <w:rsid w:val="00972A17"/>
    <w:rsid w:val="00973B86"/>
    <w:rsid w:val="009742B9"/>
    <w:rsid w:val="00974DE8"/>
    <w:rsid w:val="009755E1"/>
    <w:rsid w:val="00975FC2"/>
    <w:rsid w:val="0097760B"/>
    <w:rsid w:val="0098176A"/>
    <w:rsid w:val="00982F46"/>
    <w:rsid w:val="00983E97"/>
    <w:rsid w:val="00984044"/>
    <w:rsid w:val="009860BE"/>
    <w:rsid w:val="00986FC6"/>
    <w:rsid w:val="00987116"/>
    <w:rsid w:val="009913E6"/>
    <w:rsid w:val="00991558"/>
    <w:rsid w:val="00991C2F"/>
    <w:rsid w:val="00992CA4"/>
    <w:rsid w:val="0099351F"/>
    <w:rsid w:val="00994F0F"/>
    <w:rsid w:val="00995EC8"/>
    <w:rsid w:val="009967EF"/>
    <w:rsid w:val="00996D8B"/>
    <w:rsid w:val="009971E6"/>
    <w:rsid w:val="009977AC"/>
    <w:rsid w:val="00997C8B"/>
    <w:rsid w:val="009A05FF"/>
    <w:rsid w:val="009A07E4"/>
    <w:rsid w:val="009A19D5"/>
    <w:rsid w:val="009A221F"/>
    <w:rsid w:val="009A2F5C"/>
    <w:rsid w:val="009A5690"/>
    <w:rsid w:val="009A636A"/>
    <w:rsid w:val="009A78A4"/>
    <w:rsid w:val="009A7A86"/>
    <w:rsid w:val="009B05D9"/>
    <w:rsid w:val="009B0C49"/>
    <w:rsid w:val="009B63BD"/>
    <w:rsid w:val="009B7EC0"/>
    <w:rsid w:val="009C1C76"/>
    <w:rsid w:val="009C7A1C"/>
    <w:rsid w:val="009C7B4A"/>
    <w:rsid w:val="009D124E"/>
    <w:rsid w:val="009D1580"/>
    <w:rsid w:val="009D4536"/>
    <w:rsid w:val="009D457A"/>
    <w:rsid w:val="009D4B91"/>
    <w:rsid w:val="009D4FC4"/>
    <w:rsid w:val="009D5604"/>
    <w:rsid w:val="009D61D1"/>
    <w:rsid w:val="009D7B5D"/>
    <w:rsid w:val="009E249C"/>
    <w:rsid w:val="009E28D1"/>
    <w:rsid w:val="009E55B5"/>
    <w:rsid w:val="009E66F5"/>
    <w:rsid w:val="009E7691"/>
    <w:rsid w:val="009F1084"/>
    <w:rsid w:val="009F33B4"/>
    <w:rsid w:val="009F5001"/>
    <w:rsid w:val="009F6599"/>
    <w:rsid w:val="00A0384A"/>
    <w:rsid w:val="00A05F65"/>
    <w:rsid w:val="00A12CFA"/>
    <w:rsid w:val="00A13BD7"/>
    <w:rsid w:val="00A14A22"/>
    <w:rsid w:val="00A14BAD"/>
    <w:rsid w:val="00A17F25"/>
    <w:rsid w:val="00A2194E"/>
    <w:rsid w:val="00A21E85"/>
    <w:rsid w:val="00A22DED"/>
    <w:rsid w:val="00A23BE5"/>
    <w:rsid w:val="00A241F6"/>
    <w:rsid w:val="00A24E0F"/>
    <w:rsid w:val="00A2562B"/>
    <w:rsid w:val="00A2723D"/>
    <w:rsid w:val="00A30F80"/>
    <w:rsid w:val="00A327BC"/>
    <w:rsid w:val="00A35884"/>
    <w:rsid w:val="00A368A3"/>
    <w:rsid w:val="00A43D3E"/>
    <w:rsid w:val="00A4416A"/>
    <w:rsid w:val="00A443A3"/>
    <w:rsid w:val="00A44480"/>
    <w:rsid w:val="00A457E4"/>
    <w:rsid w:val="00A50E1F"/>
    <w:rsid w:val="00A53227"/>
    <w:rsid w:val="00A54984"/>
    <w:rsid w:val="00A610A9"/>
    <w:rsid w:val="00A61722"/>
    <w:rsid w:val="00A62FBD"/>
    <w:rsid w:val="00A6357C"/>
    <w:rsid w:val="00A65294"/>
    <w:rsid w:val="00A66113"/>
    <w:rsid w:val="00A6774A"/>
    <w:rsid w:val="00A705E1"/>
    <w:rsid w:val="00A70E8B"/>
    <w:rsid w:val="00A7146E"/>
    <w:rsid w:val="00A73ECB"/>
    <w:rsid w:val="00A745BE"/>
    <w:rsid w:val="00A75C9A"/>
    <w:rsid w:val="00A76E9F"/>
    <w:rsid w:val="00A777A7"/>
    <w:rsid w:val="00A80385"/>
    <w:rsid w:val="00A8069C"/>
    <w:rsid w:val="00A81092"/>
    <w:rsid w:val="00A8263D"/>
    <w:rsid w:val="00A833A6"/>
    <w:rsid w:val="00A837E8"/>
    <w:rsid w:val="00A850B4"/>
    <w:rsid w:val="00A86F02"/>
    <w:rsid w:val="00A90BA4"/>
    <w:rsid w:val="00A931A7"/>
    <w:rsid w:val="00A93584"/>
    <w:rsid w:val="00A95620"/>
    <w:rsid w:val="00A95E00"/>
    <w:rsid w:val="00A975F5"/>
    <w:rsid w:val="00A978AC"/>
    <w:rsid w:val="00AA0043"/>
    <w:rsid w:val="00AA0130"/>
    <w:rsid w:val="00AA462B"/>
    <w:rsid w:val="00AA475A"/>
    <w:rsid w:val="00AB0404"/>
    <w:rsid w:val="00AB0424"/>
    <w:rsid w:val="00AB11F5"/>
    <w:rsid w:val="00AB2347"/>
    <w:rsid w:val="00AB6A3F"/>
    <w:rsid w:val="00AB7FDC"/>
    <w:rsid w:val="00AC1161"/>
    <w:rsid w:val="00AC2195"/>
    <w:rsid w:val="00AC3AC7"/>
    <w:rsid w:val="00AC3C1E"/>
    <w:rsid w:val="00AC452A"/>
    <w:rsid w:val="00AC66C0"/>
    <w:rsid w:val="00AC6BA0"/>
    <w:rsid w:val="00AC7DAC"/>
    <w:rsid w:val="00AC7DB6"/>
    <w:rsid w:val="00AD0E33"/>
    <w:rsid w:val="00AD1F18"/>
    <w:rsid w:val="00AD2029"/>
    <w:rsid w:val="00AD315E"/>
    <w:rsid w:val="00AD3A8B"/>
    <w:rsid w:val="00AD43C4"/>
    <w:rsid w:val="00AD4F74"/>
    <w:rsid w:val="00AD570B"/>
    <w:rsid w:val="00AE01E2"/>
    <w:rsid w:val="00AE2C3B"/>
    <w:rsid w:val="00AE3BB1"/>
    <w:rsid w:val="00AE4BF9"/>
    <w:rsid w:val="00AF0BC0"/>
    <w:rsid w:val="00AF13BA"/>
    <w:rsid w:val="00AF16F7"/>
    <w:rsid w:val="00AF2DD3"/>
    <w:rsid w:val="00AF33B0"/>
    <w:rsid w:val="00AF3EA8"/>
    <w:rsid w:val="00AF4522"/>
    <w:rsid w:val="00AF49B2"/>
    <w:rsid w:val="00AF4ADF"/>
    <w:rsid w:val="00AF5A62"/>
    <w:rsid w:val="00AF73BF"/>
    <w:rsid w:val="00B00D81"/>
    <w:rsid w:val="00B01BEA"/>
    <w:rsid w:val="00B043A3"/>
    <w:rsid w:val="00B04542"/>
    <w:rsid w:val="00B05AA0"/>
    <w:rsid w:val="00B05BA4"/>
    <w:rsid w:val="00B06B71"/>
    <w:rsid w:val="00B10C3A"/>
    <w:rsid w:val="00B11763"/>
    <w:rsid w:val="00B11A8B"/>
    <w:rsid w:val="00B1378F"/>
    <w:rsid w:val="00B17356"/>
    <w:rsid w:val="00B17C63"/>
    <w:rsid w:val="00B2016C"/>
    <w:rsid w:val="00B220F0"/>
    <w:rsid w:val="00B25462"/>
    <w:rsid w:val="00B2600C"/>
    <w:rsid w:val="00B32B81"/>
    <w:rsid w:val="00B33324"/>
    <w:rsid w:val="00B34672"/>
    <w:rsid w:val="00B346CF"/>
    <w:rsid w:val="00B37AD0"/>
    <w:rsid w:val="00B37FFE"/>
    <w:rsid w:val="00B40C66"/>
    <w:rsid w:val="00B40CB4"/>
    <w:rsid w:val="00B44875"/>
    <w:rsid w:val="00B47231"/>
    <w:rsid w:val="00B47778"/>
    <w:rsid w:val="00B50C83"/>
    <w:rsid w:val="00B5257F"/>
    <w:rsid w:val="00B52F40"/>
    <w:rsid w:val="00B530D9"/>
    <w:rsid w:val="00B5311B"/>
    <w:rsid w:val="00B53CE8"/>
    <w:rsid w:val="00B5481E"/>
    <w:rsid w:val="00B55943"/>
    <w:rsid w:val="00B57C19"/>
    <w:rsid w:val="00B60D49"/>
    <w:rsid w:val="00B616D4"/>
    <w:rsid w:val="00B65495"/>
    <w:rsid w:val="00B67957"/>
    <w:rsid w:val="00B6796B"/>
    <w:rsid w:val="00B67A9A"/>
    <w:rsid w:val="00B7247C"/>
    <w:rsid w:val="00B73D59"/>
    <w:rsid w:val="00B73F44"/>
    <w:rsid w:val="00B7495E"/>
    <w:rsid w:val="00B75BB6"/>
    <w:rsid w:val="00B80F06"/>
    <w:rsid w:val="00B8214A"/>
    <w:rsid w:val="00B821FA"/>
    <w:rsid w:val="00B82A9C"/>
    <w:rsid w:val="00B83B9C"/>
    <w:rsid w:val="00B8476F"/>
    <w:rsid w:val="00B8502D"/>
    <w:rsid w:val="00B85077"/>
    <w:rsid w:val="00B85EF2"/>
    <w:rsid w:val="00B90B18"/>
    <w:rsid w:val="00B91755"/>
    <w:rsid w:val="00B933C8"/>
    <w:rsid w:val="00B93EB5"/>
    <w:rsid w:val="00B947A1"/>
    <w:rsid w:val="00B94A3F"/>
    <w:rsid w:val="00B9500D"/>
    <w:rsid w:val="00B95B6D"/>
    <w:rsid w:val="00BA1EAF"/>
    <w:rsid w:val="00BA2B25"/>
    <w:rsid w:val="00BA605C"/>
    <w:rsid w:val="00BA651A"/>
    <w:rsid w:val="00BB0DED"/>
    <w:rsid w:val="00BB1E6E"/>
    <w:rsid w:val="00BB323D"/>
    <w:rsid w:val="00BB3EEE"/>
    <w:rsid w:val="00BB583F"/>
    <w:rsid w:val="00BB676A"/>
    <w:rsid w:val="00BB6CBF"/>
    <w:rsid w:val="00BB782D"/>
    <w:rsid w:val="00BC0995"/>
    <w:rsid w:val="00BC2A59"/>
    <w:rsid w:val="00BC3872"/>
    <w:rsid w:val="00BC3E3C"/>
    <w:rsid w:val="00BC4E95"/>
    <w:rsid w:val="00BC588C"/>
    <w:rsid w:val="00BC637F"/>
    <w:rsid w:val="00BD00E1"/>
    <w:rsid w:val="00BD109D"/>
    <w:rsid w:val="00BD1964"/>
    <w:rsid w:val="00BD2569"/>
    <w:rsid w:val="00BD2EEE"/>
    <w:rsid w:val="00BD51FB"/>
    <w:rsid w:val="00BD525F"/>
    <w:rsid w:val="00BD77C8"/>
    <w:rsid w:val="00BD7D63"/>
    <w:rsid w:val="00BE1815"/>
    <w:rsid w:val="00BE31CF"/>
    <w:rsid w:val="00BE31F9"/>
    <w:rsid w:val="00BE7673"/>
    <w:rsid w:val="00BE77E7"/>
    <w:rsid w:val="00BF0028"/>
    <w:rsid w:val="00BF5D4A"/>
    <w:rsid w:val="00BF606B"/>
    <w:rsid w:val="00BF6954"/>
    <w:rsid w:val="00C032C2"/>
    <w:rsid w:val="00C03A71"/>
    <w:rsid w:val="00C06F24"/>
    <w:rsid w:val="00C10A72"/>
    <w:rsid w:val="00C129E1"/>
    <w:rsid w:val="00C12EAF"/>
    <w:rsid w:val="00C134E0"/>
    <w:rsid w:val="00C14B1A"/>
    <w:rsid w:val="00C15805"/>
    <w:rsid w:val="00C224CC"/>
    <w:rsid w:val="00C24BC2"/>
    <w:rsid w:val="00C26E3F"/>
    <w:rsid w:val="00C2706A"/>
    <w:rsid w:val="00C273A7"/>
    <w:rsid w:val="00C30DF3"/>
    <w:rsid w:val="00C32630"/>
    <w:rsid w:val="00C37B8C"/>
    <w:rsid w:val="00C40494"/>
    <w:rsid w:val="00C407B1"/>
    <w:rsid w:val="00C42CB5"/>
    <w:rsid w:val="00C44154"/>
    <w:rsid w:val="00C44839"/>
    <w:rsid w:val="00C45F60"/>
    <w:rsid w:val="00C468CB"/>
    <w:rsid w:val="00C46DDB"/>
    <w:rsid w:val="00C478A4"/>
    <w:rsid w:val="00C47F01"/>
    <w:rsid w:val="00C5049F"/>
    <w:rsid w:val="00C50981"/>
    <w:rsid w:val="00C51E51"/>
    <w:rsid w:val="00C527D2"/>
    <w:rsid w:val="00C52DC6"/>
    <w:rsid w:val="00C54117"/>
    <w:rsid w:val="00C54FAA"/>
    <w:rsid w:val="00C559EF"/>
    <w:rsid w:val="00C567B0"/>
    <w:rsid w:val="00C5705B"/>
    <w:rsid w:val="00C625AA"/>
    <w:rsid w:val="00C627A5"/>
    <w:rsid w:val="00C649FD"/>
    <w:rsid w:val="00C67452"/>
    <w:rsid w:val="00C7029F"/>
    <w:rsid w:val="00C70729"/>
    <w:rsid w:val="00C72C5F"/>
    <w:rsid w:val="00C73DAD"/>
    <w:rsid w:val="00C749BB"/>
    <w:rsid w:val="00C75014"/>
    <w:rsid w:val="00C80799"/>
    <w:rsid w:val="00C819E2"/>
    <w:rsid w:val="00C822A3"/>
    <w:rsid w:val="00C82ED2"/>
    <w:rsid w:val="00C82F75"/>
    <w:rsid w:val="00C8353C"/>
    <w:rsid w:val="00C86231"/>
    <w:rsid w:val="00C86E4B"/>
    <w:rsid w:val="00C8734E"/>
    <w:rsid w:val="00C90033"/>
    <w:rsid w:val="00C9016D"/>
    <w:rsid w:val="00C91FAB"/>
    <w:rsid w:val="00C92882"/>
    <w:rsid w:val="00C949EA"/>
    <w:rsid w:val="00C95D4E"/>
    <w:rsid w:val="00C96AB6"/>
    <w:rsid w:val="00C96D3C"/>
    <w:rsid w:val="00CA05D3"/>
    <w:rsid w:val="00CA1A39"/>
    <w:rsid w:val="00CA1E2E"/>
    <w:rsid w:val="00CA2613"/>
    <w:rsid w:val="00CA31B2"/>
    <w:rsid w:val="00CA3299"/>
    <w:rsid w:val="00CA35D1"/>
    <w:rsid w:val="00CA3A88"/>
    <w:rsid w:val="00CA5641"/>
    <w:rsid w:val="00CA79A4"/>
    <w:rsid w:val="00CB00D4"/>
    <w:rsid w:val="00CB1B53"/>
    <w:rsid w:val="00CB23D7"/>
    <w:rsid w:val="00CB2A61"/>
    <w:rsid w:val="00CB3CC2"/>
    <w:rsid w:val="00CB5518"/>
    <w:rsid w:val="00CB7022"/>
    <w:rsid w:val="00CB708F"/>
    <w:rsid w:val="00CB72E7"/>
    <w:rsid w:val="00CB74D1"/>
    <w:rsid w:val="00CC1C78"/>
    <w:rsid w:val="00CC1D80"/>
    <w:rsid w:val="00CC2A9E"/>
    <w:rsid w:val="00CC567C"/>
    <w:rsid w:val="00CC5798"/>
    <w:rsid w:val="00CC5E72"/>
    <w:rsid w:val="00CC6DE4"/>
    <w:rsid w:val="00CD0004"/>
    <w:rsid w:val="00CD1B7E"/>
    <w:rsid w:val="00CD337F"/>
    <w:rsid w:val="00CD598E"/>
    <w:rsid w:val="00CD76EB"/>
    <w:rsid w:val="00CE0D91"/>
    <w:rsid w:val="00CE2B42"/>
    <w:rsid w:val="00CE552C"/>
    <w:rsid w:val="00CE63C0"/>
    <w:rsid w:val="00CE7A1E"/>
    <w:rsid w:val="00CE7D13"/>
    <w:rsid w:val="00CF1EC0"/>
    <w:rsid w:val="00CF2605"/>
    <w:rsid w:val="00CF409D"/>
    <w:rsid w:val="00CF4216"/>
    <w:rsid w:val="00CF5717"/>
    <w:rsid w:val="00CF6323"/>
    <w:rsid w:val="00CF78ED"/>
    <w:rsid w:val="00CF7C99"/>
    <w:rsid w:val="00CF7F1E"/>
    <w:rsid w:val="00D0072E"/>
    <w:rsid w:val="00D01A18"/>
    <w:rsid w:val="00D01C2C"/>
    <w:rsid w:val="00D01D7A"/>
    <w:rsid w:val="00D07639"/>
    <w:rsid w:val="00D10278"/>
    <w:rsid w:val="00D146B6"/>
    <w:rsid w:val="00D240A8"/>
    <w:rsid w:val="00D24D39"/>
    <w:rsid w:val="00D25591"/>
    <w:rsid w:val="00D260FE"/>
    <w:rsid w:val="00D271BC"/>
    <w:rsid w:val="00D2748E"/>
    <w:rsid w:val="00D306DC"/>
    <w:rsid w:val="00D309DB"/>
    <w:rsid w:val="00D30C2F"/>
    <w:rsid w:val="00D318F5"/>
    <w:rsid w:val="00D327C6"/>
    <w:rsid w:val="00D32D37"/>
    <w:rsid w:val="00D32E7E"/>
    <w:rsid w:val="00D33375"/>
    <w:rsid w:val="00D344B6"/>
    <w:rsid w:val="00D348ED"/>
    <w:rsid w:val="00D35031"/>
    <w:rsid w:val="00D40F5A"/>
    <w:rsid w:val="00D413A8"/>
    <w:rsid w:val="00D42178"/>
    <w:rsid w:val="00D43201"/>
    <w:rsid w:val="00D439A4"/>
    <w:rsid w:val="00D46408"/>
    <w:rsid w:val="00D46D33"/>
    <w:rsid w:val="00D47BAF"/>
    <w:rsid w:val="00D51099"/>
    <w:rsid w:val="00D520C8"/>
    <w:rsid w:val="00D52B69"/>
    <w:rsid w:val="00D52E96"/>
    <w:rsid w:val="00D52F35"/>
    <w:rsid w:val="00D55E88"/>
    <w:rsid w:val="00D55E93"/>
    <w:rsid w:val="00D57381"/>
    <w:rsid w:val="00D576B6"/>
    <w:rsid w:val="00D5790E"/>
    <w:rsid w:val="00D60BCD"/>
    <w:rsid w:val="00D613D8"/>
    <w:rsid w:val="00D65796"/>
    <w:rsid w:val="00D71228"/>
    <w:rsid w:val="00D72A09"/>
    <w:rsid w:val="00D72E3D"/>
    <w:rsid w:val="00D73294"/>
    <w:rsid w:val="00D74FBC"/>
    <w:rsid w:val="00D760C2"/>
    <w:rsid w:val="00D76DDC"/>
    <w:rsid w:val="00D77F2C"/>
    <w:rsid w:val="00D83E68"/>
    <w:rsid w:val="00D845FA"/>
    <w:rsid w:val="00D85C08"/>
    <w:rsid w:val="00D86E93"/>
    <w:rsid w:val="00D90A06"/>
    <w:rsid w:val="00D93069"/>
    <w:rsid w:val="00D96A25"/>
    <w:rsid w:val="00D96CB4"/>
    <w:rsid w:val="00D97FBA"/>
    <w:rsid w:val="00DA0BA5"/>
    <w:rsid w:val="00DA2260"/>
    <w:rsid w:val="00DA309B"/>
    <w:rsid w:val="00DA473D"/>
    <w:rsid w:val="00DA4CF8"/>
    <w:rsid w:val="00DA544F"/>
    <w:rsid w:val="00DA5A32"/>
    <w:rsid w:val="00DA5B79"/>
    <w:rsid w:val="00DB0B89"/>
    <w:rsid w:val="00DB3A8D"/>
    <w:rsid w:val="00DC0E5A"/>
    <w:rsid w:val="00DC1558"/>
    <w:rsid w:val="00DC2257"/>
    <w:rsid w:val="00DC26BF"/>
    <w:rsid w:val="00DC27F0"/>
    <w:rsid w:val="00DC510C"/>
    <w:rsid w:val="00DC5DDB"/>
    <w:rsid w:val="00DC60BB"/>
    <w:rsid w:val="00DD07E2"/>
    <w:rsid w:val="00DD31FF"/>
    <w:rsid w:val="00DD3C51"/>
    <w:rsid w:val="00DD4F18"/>
    <w:rsid w:val="00DD519C"/>
    <w:rsid w:val="00DD51C1"/>
    <w:rsid w:val="00DD671C"/>
    <w:rsid w:val="00DE616F"/>
    <w:rsid w:val="00DE625A"/>
    <w:rsid w:val="00DE6ACA"/>
    <w:rsid w:val="00DF0C3D"/>
    <w:rsid w:val="00DF115D"/>
    <w:rsid w:val="00DF32C2"/>
    <w:rsid w:val="00DF37B6"/>
    <w:rsid w:val="00DF5103"/>
    <w:rsid w:val="00DF5B4A"/>
    <w:rsid w:val="00DF6487"/>
    <w:rsid w:val="00DF686F"/>
    <w:rsid w:val="00DF68CD"/>
    <w:rsid w:val="00DF7D4C"/>
    <w:rsid w:val="00E0151E"/>
    <w:rsid w:val="00E019D0"/>
    <w:rsid w:val="00E021FF"/>
    <w:rsid w:val="00E03CFC"/>
    <w:rsid w:val="00E03E48"/>
    <w:rsid w:val="00E05921"/>
    <w:rsid w:val="00E05B39"/>
    <w:rsid w:val="00E07A90"/>
    <w:rsid w:val="00E106A8"/>
    <w:rsid w:val="00E11750"/>
    <w:rsid w:val="00E125F8"/>
    <w:rsid w:val="00E133CD"/>
    <w:rsid w:val="00E13B2B"/>
    <w:rsid w:val="00E14253"/>
    <w:rsid w:val="00E14815"/>
    <w:rsid w:val="00E15F69"/>
    <w:rsid w:val="00E22052"/>
    <w:rsid w:val="00E22340"/>
    <w:rsid w:val="00E246B7"/>
    <w:rsid w:val="00E27ACB"/>
    <w:rsid w:val="00E30300"/>
    <w:rsid w:val="00E311D5"/>
    <w:rsid w:val="00E31563"/>
    <w:rsid w:val="00E328A9"/>
    <w:rsid w:val="00E34273"/>
    <w:rsid w:val="00E3457D"/>
    <w:rsid w:val="00E347CA"/>
    <w:rsid w:val="00E41747"/>
    <w:rsid w:val="00E4373B"/>
    <w:rsid w:val="00E4563C"/>
    <w:rsid w:val="00E464DD"/>
    <w:rsid w:val="00E46CDA"/>
    <w:rsid w:val="00E47CC9"/>
    <w:rsid w:val="00E50C80"/>
    <w:rsid w:val="00E50EDE"/>
    <w:rsid w:val="00E51EEF"/>
    <w:rsid w:val="00E52052"/>
    <w:rsid w:val="00E52501"/>
    <w:rsid w:val="00E5399A"/>
    <w:rsid w:val="00E55553"/>
    <w:rsid w:val="00E57083"/>
    <w:rsid w:val="00E5779C"/>
    <w:rsid w:val="00E60C97"/>
    <w:rsid w:val="00E61CD4"/>
    <w:rsid w:val="00E63363"/>
    <w:rsid w:val="00E638F9"/>
    <w:rsid w:val="00E64E83"/>
    <w:rsid w:val="00E65BB1"/>
    <w:rsid w:val="00E66CFE"/>
    <w:rsid w:val="00E71215"/>
    <w:rsid w:val="00E71B9E"/>
    <w:rsid w:val="00E71E49"/>
    <w:rsid w:val="00E7256A"/>
    <w:rsid w:val="00E72943"/>
    <w:rsid w:val="00E73770"/>
    <w:rsid w:val="00E753FE"/>
    <w:rsid w:val="00E75748"/>
    <w:rsid w:val="00E7584C"/>
    <w:rsid w:val="00E76A86"/>
    <w:rsid w:val="00E76BB3"/>
    <w:rsid w:val="00E81277"/>
    <w:rsid w:val="00E86E30"/>
    <w:rsid w:val="00E90C22"/>
    <w:rsid w:val="00E910E7"/>
    <w:rsid w:val="00E9569C"/>
    <w:rsid w:val="00E95787"/>
    <w:rsid w:val="00E96AF0"/>
    <w:rsid w:val="00EA143F"/>
    <w:rsid w:val="00EA6396"/>
    <w:rsid w:val="00EA728C"/>
    <w:rsid w:val="00EA7B6B"/>
    <w:rsid w:val="00EA7EC4"/>
    <w:rsid w:val="00EB0269"/>
    <w:rsid w:val="00EB044F"/>
    <w:rsid w:val="00EB0830"/>
    <w:rsid w:val="00EB0F99"/>
    <w:rsid w:val="00EB1E8A"/>
    <w:rsid w:val="00EB2E58"/>
    <w:rsid w:val="00EB7034"/>
    <w:rsid w:val="00EC02CD"/>
    <w:rsid w:val="00EC0AD3"/>
    <w:rsid w:val="00EC53F3"/>
    <w:rsid w:val="00EC778C"/>
    <w:rsid w:val="00EC7973"/>
    <w:rsid w:val="00ED1963"/>
    <w:rsid w:val="00ED3789"/>
    <w:rsid w:val="00ED4EC3"/>
    <w:rsid w:val="00ED58A9"/>
    <w:rsid w:val="00ED5F32"/>
    <w:rsid w:val="00ED6490"/>
    <w:rsid w:val="00EE0016"/>
    <w:rsid w:val="00EE380E"/>
    <w:rsid w:val="00EE38D5"/>
    <w:rsid w:val="00EE4D98"/>
    <w:rsid w:val="00EE7084"/>
    <w:rsid w:val="00EE7661"/>
    <w:rsid w:val="00EE78F9"/>
    <w:rsid w:val="00EF1EBC"/>
    <w:rsid w:val="00EF2412"/>
    <w:rsid w:val="00EF2F8C"/>
    <w:rsid w:val="00EF450D"/>
    <w:rsid w:val="00EF5911"/>
    <w:rsid w:val="00EF5FD1"/>
    <w:rsid w:val="00EF722F"/>
    <w:rsid w:val="00F013F1"/>
    <w:rsid w:val="00F01899"/>
    <w:rsid w:val="00F01E2D"/>
    <w:rsid w:val="00F0214F"/>
    <w:rsid w:val="00F0226F"/>
    <w:rsid w:val="00F028CF"/>
    <w:rsid w:val="00F02B84"/>
    <w:rsid w:val="00F062E4"/>
    <w:rsid w:val="00F10E4C"/>
    <w:rsid w:val="00F126C8"/>
    <w:rsid w:val="00F12817"/>
    <w:rsid w:val="00F12C15"/>
    <w:rsid w:val="00F1416F"/>
    <w:rsid w:val="00F14884"/>
    <w:rsid w:val="00F14EEC"/>
    <w:rsid w:val="00F158F5"/>
    <w:rsid w:val="00F16B7F"/>
    <w:rsid w:val="00F17863"/>
    <w:rsid w:val="00F20BC9"/>
    <w:rsid w:val="00F23117"/>
    <w:rsid w:val="00F23FFC"/>
    <w:rsid w:val="00F26CA1"/>
    <w:rsid w:val="00F270E5"/>
    <w:rsid w:val="00F276E1"/>
    <w:rsid w:val="00F30DAD"/>
    <w:rsid w:val="00F30F81"/>
    <w:rsid w:val="00F33947"/>
    <w:rsid w:val="00F35C32"/>
    <w:rsid w:val="00F35C99"/>
    <w:rsid w:val="00F36B5B"/>
    <w:rsid w:val="00F40D96"/>
    <w:rsid w:val="00F44696"/>
    <w:rsid w:val="00F456C1"/>
    <w:rsid w:val="00F45A36"/>
    <w:rsid w:val="00F45C61"/>
    <w:rsid w:val="00F47444"/>
    <w:rsid w:val="00F523D0"/>
    <w:rsid w:val="00F541F9"/>
    <w:rsid w:val="00F542AE"/>
    <w:rsid w:val="00F5642F"/>
    <w:rsid w:val="00F578AA"/>
    <w:rsid w:val="00F57B1D"/>
    <w:rsid w:val="00F62EE0"/>
    <w:rsid w:val="00F62F29"/>
    <w:rsid w:val="00F64845"/>
    <w:rsid w:val="00F65B32"/>
    <w:rsid w:val="00F660D1"/>
    <w:rsid w:val="00F722E7"/>
    <w:rsid w:val="00F7399D"/>
    <w:rsid w:val="00F7441A"/>
    <w:rsid w:val="00F74BDC"/>
    <w:rsid w:val="00F76D7D"/>
    <w:rsid w:val="00F773AE"/>
    <w:rsid w:val="00F81B2B"/>
    <w:rsid w:val="00F83665"/>
    <w:rsid w:val="00F84A37"/>
    <w:rsid w:val="00F84A6A"/>
    <w:rsid w:val="00F85830"/>
    <w:rsid w:val="00F86741"/>
    <w:rsid w:val="00F87AD4"/>
    <w:rsid w:val="00F87DB1"/>
    <w:rsid w:val="00F90169"/>
    <w:rsid w:val="00F90205"/>
    <w:rsid w:val="00F903AF"/>
    <w:rsid w:val="00F90A32"/>
    <w:rsid w:val="00F919A3"/>
    <w:rsid w:val="00F927F3"/>
    <w:rsid w:val="00F92FF1"/>
    <w:rsid w:val="00F95E04"/>
    <w:rsid w:val="00F9726B"/>
    <w:rsid w:val="00FA0091"/>
    <w:rsid w:val="00FA0227"/>
    <w:rsid w:val="00FA0241"/>
    <w:rsid w:val="00FA028D"/>
    <w:rsid w:val="00FA3C60"/>
    <w:rsid w:val="00FA402D"/>
    <w:rsid w:val="00FA5FE2"/>
    <w:rsid w:val="00FA635D"/>
    <w:rsid w:val="00FA6CE0"/>
    <w:rsid w:val="00FA72D6"/>
    <w:rsid w:val="00FA72F6"/>
    <w:rsid w:val="00FA7CC1"/>
    <w:rsid w:val="00FB1BD4"/>
    <w:rsid w:val="00FB1BDF"/>
    <w:rsid w:val="00FB5502"/>
    <w:rsid w:val="00FB6237"/>
    <w:rsid w:val="00FB704F"/>
    <w:rsid w:val="00FB776C"/>
    <w:rsid w:val="00FC2C89"/>
    <w:rsid w:val="00FC2CC2"/>
    <w:rsid w:val="00FC31F5"/>
    <w:rsid w:val="00FC3318"/>
    <w:rsid w:val="00FC38E7"/>
    <w:rsid w:val="00FC3BD7"/>
    <w:rsid w:val="00FC44E6"/>
    <w:rsid w:val="00FC4FE3"/>
    <w:rsid w:val="00FC5CFE"/>
    <w:rsid w:val="00FC71A7"/>
    <w:rsid w:val="00FC7BA8"/>
    <w:rsid w:val="00FD34E6"/>
    <w:rsid w:val="00FD4D7B"/>
    <w:rsid w:val="00FD540D"/>
    <w:rsid w:val="00FD7D3F"/>
    <w:rsid w:val="00FD7DE5"/>
    <w:rsid w:val="00FE18A4"/>
    <w:rsid w:val="00FE2998"/>
    <w:rsid w:val="00FE3469"/>
    <w:rsid w:val="00FE3AD0"/>
    <w:rsid w:val="00FE62AE"/>
    <w:rsid w:val="00FE6323"/>
    <w:rsid w:val="00FE641F"/>
    <w:rsid w:val="00FE7D47"/>
    <w:rsid w:val="00FF0014"/>
    <w:rsid w:val="00FF1DDF"/>
    <w:rsid w:val="00FF3EAE"/>
    <w:rsid w:val="00FF46E4"/>
    <w:rsid w:val="00FF5030"/>
    <w:rsid w:val="00FF591C"/>
    <w:rsid w:val="00FF6076"/>
    <w:rsid w:val="00FF6AF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B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3517"/>
    <w:pPr>
      <w:keepNext/>
      <w:keepLines/>
      <w:spacing w:before="240" w:after="0"/>
      <w:outlineLvl w:val="0"/>
    </w:pPr>
    <w:rPr>
      <w:rFonts w:ascii="Trebuchet MS" w:eastAsiaTheme="minorEastAsia" w:hAnsi="Trebuchet MS"/>
      <w:b/>
      <w:color w:val="FFC000" w:themeColor="accent4"/>
      <w:sz w:val="36"/>
      <w:szCs w:val="36"/>
      <w:lang w:val="en-US"/>
      <w14:textOutline w14:w="0" w14:cap="flat" w14:cmpd="sng" w14:algn="ctr">
        <w14:noFill/>
        <w14:prstDash w14:val="solid"/>
        <w14:round/>
      </w14:textOutline>
      <w14:props3d w14:extrusionH="57150" w14:contourW="0" w14:prstMaterial="softEdge">
        <w14:bevelT w14:w="38100" w14:h="38100" w14:prst="angle"/>
      </w14:props3d>
    </w:rPr>
  </w:style>
  <w:style w:type="paragraph" w:styleId="Heading2">
    <w:name w:val="heading 2"/>
    <w:basedOn w:val="Normal"/>
    <w:next w:val="Normal"/>
    <w:link w:val="Heading2Char"/>
    <w:uiPriority w:val="9"/>
    <w:unhideWhenUsed/>
    <w:qFormat/>
    <w:rsid w:val="00F26CA1"/>
    <w:pPr>
      <w:keepNext/>
      <w:keepLines/>
      <w:spacing w:before="40" w:after="0"/>
      <w:outlineLvl w:val="1"/>
    </w:pPr>
    <w:rPr>
      <w:rFonts w:ascii="Trebuchet MS" w:eastAsiaTheme="majorEastAsia" w:hAnsi="Trebuchet MS" w:cstheme="majorBidi"/>
      <w:b/>
      <w:color w:val="00B050"/>
      <w:sz w:val="26"/>
      <w:szCs w:val="26"/>
    </w:rPr>
  </w:style>
  <w:style w:type="paragraph" w:styleId="Heading3">
    <w:name w:val="heading 3"/>
    <w:basedOn w:val="Normal"/>
    <w:next w:val="Normal"/>
    <w:link w:val="Heading3Char"/>
    <w:uiPriority w:val="9"/>
    <w:unhideWhenUsed/>
    <w:qFormat/>
    <w:rsid w:val="00F26CA1"/>
    <w:pPr>
      <w:keepNext/>
      <w:keepLines/>
      <w:spacing w:before="40" w:after="0"/>
      <w:outlineLvl w:val="2"/>
    </w:pPr>
    <w:rPr>
      <w:rFonts w:ascii="Trebuchet MS" w:eastAsiaTheme="majorEastAsia" w:hAnsi="Trebuchet MS" w:cstheme="majorBidi"/>
      <w:b/>
      <w:color w:val="0070C0"/>
      <w:sz w:val="24"/>
      <w:szCs w:val="24"/>
    </w:rPr>
  </w:style>
  <w:style w:type="paragraph" w:styleId="Heading4">
    <w:name w:val="heading 4"/>
    <w:basedOn w:val="Normal"/>
    <w:next w:val="Normal"/>
    <w:link w:val="Heading4Char"/>
    <w:uiPriority w:val="9"/>
    <w:unhideWhenUsed/>
    <w:qFormat/>
    <w:rsid w:val="0081168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87DB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517"/>
    <w:rPr>
      <w:rFonts w:ascii="Trebuchet MS" w:eastAsiaTheme="minorEastAsia" w:hAnsi="Trebuchet MS"/>
      <w:b/>
      <w:color w:val="FFC000" w:themeColor="accent4"/>
      <w:sz w:val="36"/>
      <w:szCs w:val="36"/>
      <w:lang w:val="en-US"/>
      <w14:textOutline w14:w="0" w14:cap="flat" w14:cmpd="sng" w14:algn="ctr">
        <w14:noFill/>
        <w14:prstDash w14:val="solid"/>
        <w14:round/>
      </w14:textOutline>
      <w14:props3d w14:extrusionH="57150" w14:contourW="0" w14:prstMaterial="softEdge">
        <w14:bevelT w14:w="38100" w14:h="38100" w14:prst="angle"/>
      </w14:props3d>
    </w:rPr>
  </w:style>
  <w:style w:type="character" w:customStyle="1" w:styleId="Heading2Char">
    <w:name w:val="Heading 2 Char"/>
    <w:basedOn w:val="DefaultParagraphFont"/>
    <w:link w:val="Heading2"/>
    <w:uiPriority w:val="9"/>
    <w:rsid w:val="00F26CA1"/>
    <w:rPr>
      <w:rFonts w:ascii="Trebuchet MS" w:eastAsiaTheme="majorEastAsia" w:hAnsi="Trebuchet MS" w:cstheme="majorBidi"/>
      <w:b/>
      <w:color w:val="00B050"/>
      <w:sz w:val="26"/>
      <w:szCs w:val="26"/>
    </w:rPr>
  </w:style>
  <w:style w:type="character" w:customStyle="1" w:styleId="Heading3Char">
    <w:name w:val="Heading 3 Char"/>
    <w:basedOn w:val="DefaultParagraphFont"/>
    <w:link w:val="Heading3"/>
    <w:uiPriority w:val="9"/>
    <w:rsid w:val="00F26CA1"/>
    <w:rPr>
      <w:rFonts w:ascii="Trebuchet MS" w:eastAsiaTheme="majorEastAsia" w:hAnsi="Trebuchet MS" w:cstheme="majorBidi"/>
      <w:b/>
      <w:color w:val="0070C0"/>
      <w:sz w:val="24"/>
      <w:szCs w:val="24"/>
    </w:rPr>
  </w:style>
  <w:style w:type="character" w:customStyle="1" w:styleId="Heading4Char">
    <w:name w:val="Heading 4 Char"/>
    <w:basedOn w:val="DefaultParagraphFont"/>
    <w:link w:val="Heading4"/>
    <w:uiPriority w:val="9"/>
    <w:rsid w:val="00811682"/>
    <w:rPr>
      <w:rFonts w:asciiTheme="majorHAnsi" w:eastAsiaTheme="majorEastAsia" w:hAnsiTheme="majorHAnsi" w:cstheme="majorBidi"/>
      <w:i/>
      <w:iCs/>
      <w:color w:val="2F5496" w:themeColor="accent1" w:themeShade="BF"/>
    </w:rPr>
  </w:style>
  <w:style w:type="paragraph" w:styleId="ListParagraph">
    <w:name w:val="List Paragraph"/>
    <w:basedOn w:val="Normal"/>
    <w:link w:val="ListParagraphChar"/>
    <w:uiPriority w:val="34"/>
    <w:qFormat/>
    <w:rsid w:val="005A1840"/>
    <w:pPr>
      <w:spacing w:after="200" w:line="276" w:lineRule="auto"/>
      <w:ind w:left="720"/>
      <w:contextualSpacing/>
    </w:pPr>
    <w:rPr>
      <w:rFonts w:eastAsiaTheme="minorEastAsia"/>
      <w:lang w:eastAsia="en-GB"/>
    </w:rPr>
  </w:style>
  <w:style w:type="character" w:styleId="CommentReference">
    <w:name w:val="annotation reference"/>
    <w:basedOn w:val="DefaultParagraphFont"/>
    <w:uiPriority w:val="99"/>
    <w:semiHidden/>
    <w:unhideWhenUsed/>
    <w:rsid w:val="005A1840"/>
    <w:rPr>
      <w:sz w:val="16"/>
      <w:szCs w:val="16"/>
    </w:rPr>
  </w:style>
  <w:style w:type="paragraph" w:styleId="CommentText">
    <w:name w:val="annotation text"/>
    <w:basedOn w:val="Normal"/>
    <w:link w:val="CommentTextChar"/>
    <w:uiPriority w:val="99"/>
    <w:unhideWhenUsed/>
    <w:rsid w:val="005A1840"/>
    <w:pPr>
      <w:spacing w:after="200" w:line="240" w:lineRule="auto"/>
    </w:pPr>
    <w:rPr>
      <w:rFonts w:eastAsiaTheme="minorEastAsia"/>
      <w:sz w:val="20"/>
      <w:szCs w:val="20"/>
      <w:lang w:eastAsia="en-GB"/>
    </w:rPr>
  </w:style>
  <w:style w:type="character" w:customStyle="1" w:styleId="CommentTextChar">
    <w:name w:val="Comment Text Char"/>
    <w:basedOn w:val="DefaultParagraphFont"/>
    <w:link w:val="CommentText"/>
    <w:uiPriority w:val="99"/>
    <w:rsid w:val="005A1840"/>
    <w:rPr>
      <w:rFonts w:eastAsiaTheme="minorEastAsia"/>
      <w:sz w:val="20"/>
      <w:szCs w:val="20"/>
      <w:lang w:eastAsia="en-GB"/>
    </w:rPr>
  </w:style>
  <w:style w:type="paragraph" w:styleId="BalloonText">
    <w:name w:val="Balloon Text"/>
    <w:basedOn w:val="Normal"/>
    <w:link w:val="BalloonTextChar"/>
    <w:uiPriority w:val="99"/>
    <w:semiHidden/>
    <w:unhideWhenUsed/>
    <w:rsid w:val="005A18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84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D0E33"/>
    <w:pPr>
      <w:spacing w:after="160"/>
    </w:pPr>
    <w:rPr>
      <w:rFonts w:eastAsiaTheme="minorHAnsi"/>
      <w:b/>
      <w:bCs/>
      <w:lang w:eastAsia="en-US"/>
    </w:rPr>
  </w:style>
  <w:style w:type="character" w:customStyle="1" w:styleId="CommentSubjectChar">
    <w:name w:val="Comment Subject Char"/>
    <w:basedOn w:val="CommentTextChar"/>
    <w:link w:val="CommentSubject"/>
    <w:uiPriority w:val="99"/>
    <w:semiHidden/>
    <w:rsid w:val="00AD0E33"/>
    <w:rPr>
      <w:rFonts w:eastAsiaTheme="minorEastAsia"/>
      <w:b/>
      <w:bCs/>
      <w:sz w:val="20"/>
      <w:szCs w:val="20"/>
      <w:lang w:eastAsia="en-GB"/>
    </w:rPr>
  </w:style>
  <w:style w:type="paragraph" w:styleId="Caption">
    <w:name w:val="caption"/>
    <w:basedOn w:val="Normal"/>
    <w:next w:val="Normal"/>
    <w:uiPriority w:val="35"/>
    <w:unhideWhenUsed/>
    <w:qFormat/>
    <w:rsid w:val="0078498F"/>
    <w:pPr>
      <w:spacing w:after="200" w:line="240" w:lineRule="auto"/>
    </w:pPr>
    <w:rPr>
      <w:rFonts w:eastAsiaTheme="minorEastAsia"/>
      <w:b/>
      <w:bCs/>
      <w:color w:val="4472C4" w:themeColor="accent1"/>
      <w:sz w:val="18"/>
      <w:szCs w:val="18"/>
      <w:lang w:eastAsia="en-GB"/>
    </w:rPr>
  </w:style>
  <w:style w:type="paragraph" w:styleId="NoSpacing">
    <w:name w:val="No Spacing"/>
    <w:link w:val="NoSpacingChar"/>
    <w:uiPriority w:val="1"/>
    <w:qFormat/>
    <w:rsid w:val="0037324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73240"/>
    <w:rPr>
      <w:rFonts w:eastAsiaTheme="minorEastAsia"/>
      <w:lang w:val="en-US"/>
    </w:rPr>
  </w:style>
  <w:style w:type="paragraph" w:styleId="FootnoteText">
    <w:name w:val="footnote text"/>
    <w:basedOn w:val="Normal"/>
    <w:link w:val="FootnoteTextChar"/>
    <w:unhideWhenUsed/>
    <w:rsid w:val="00420677"/>
    <w:pPr>
      <w:spacing w:after="0" w:line="240" w:lineRule="auto"/>
    </w:pPr>
    <w:rPr>
      <w:rFonts w:eastAsiaTheme="minorEastAsia"/>
      <w:sz w:val="20"/>
      <w:szCs w:val="20"/>
      <w:lang w:eastAsia="en-GB"/>
    </w:rPr>
  </w:style>
  <w:style w:type="character" w:customStyle="1" w:styleId="FootnoteTextChar">
    <w:name w:val="Footnote Text Char"/>
    <w:basedOn w:val="DefaultParagraphFont"/>
    <w:link w:val="FootnoteText"/>
    <w:rsid w:val="00420677"/>
    <w:rPr>
      <w:rFonts w:eastAsiaTheme="minorEastAsia"/>
      <w:sz w:val="20"/>
      <w:szCs w:val="20"/>
      <w:lang w:eastAsia="en-GB"/>
    </w:rPr>
  </w:style>
  <w:style w:type="character" w:styleId="FootnoteReference">
    <w:name w:val="footnote reference"/>
    <w:basedOn w:val="DefaultParagraphFont"/>
    <w:unhideWhenUsed/>
    <w:rsid w:val="00420677"/>
    <w:rPr>
      <w:vertAlign w:val="superscript"/>
    </w:rPr>
  </w:style>
  <w:style w:type="paragraph" w:styleId="EndnoteText">
    <w:name w:val="endnote text"/>
    <w:basedOn w:val="Normal"/>
    <w:link w:val="EndnoteTextChar"/>
    <w:uiPriority w:val="99"/>
    <w:semiHidden/>
    <w:unhideWhenUsed/>
    <w:rsid w:val="004206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0677"/>
    <w:rPr>
      <w:sz w:val="20"/>
      <w:szCs w:val="20"/>
    </w:rPr>
  </w:style>
  <w:style w:type="character" w:styleId="EndnoteReference">
    <w:name w:val="endnote reference"/>
    <w:basedOn w:val="DefaultParagraphFont"/>
    <w:uiPriority w:val="99"/>
    <w:semiHidden/>
    <w:unhideWhenUsed/>
    <w:rsid w:val="00420677"/>
    <w:rPr>
      <w:vertAlign w:val="superscript"/>
    </w:rPr>
  </w:style>
  <w:style w:type="paragraph" w:styleId="TOCHeading">
    <w:name w:val="TOC Heading"/>
    <w:basedOn w:val="Heading1"/>
    <w:next w:val="Normal"/>
    <w:uiPriority w:val="39"/>
    <w:unhideWhenUsed/>
    <w:qFormat/>
    <w:rsid w:val="0019034F"/>
    <w:pPr>
      <w:outlineLvl w:val="9"/>
    </w:pPr>
    <w:rPr>
      <w:rFonts w:asciiTheme="majorHAnsi" w:eastAsiaTheme="majorEastAsia" w:hAnsiTheme="majorHAnsi" w:cstheme="majorBidi"/>
      <w:b w:val="0"/>
      <w:color w:val="2F5496" w:themeColor="accent1" w:themeShade="BF"/>
      <w:sz w:val="32"/>
      <w:szCs w:val="32"/>
      <w14:textOutline w14:w="0" w14:cap="rnd" w14:cmpd="sng" w14:algn="ctr">
        <w14:noFill/>
        <w14:prstDash w14:val="solid"/>
        <w14:bevel/>
      </w14:textOutline>
      <w14:props3d w14:extrusionH="0" w14:contourW="0" w14:prstMaterial="none"/>
    </w:rPr>
  </w:style>
  <w:style w:type="paragraph" w:styleId="TOC1">
    <w:name w:val="toc 1"/>
    <w:basedOn w:val="Normal"/>
    <w:next w:val="Normal"/>
    <w:autoRedefine/>
    <w:uiPriority w:val="39"/>
    <w:unhideWhenUsed/>
    <w:rsid w:val="004F759C"/>
    <w:pPr>
      <w:tabs>
        <w:tab w:val="left" w:pos="440"/>
        <w:tab w:val="right" w:leader="dot" w:pos="10456"/>
      </w:tabs>
      <w:spacing w:after="100"/>
    </w:pPr>
  </w:style>
  <w:style w:type="paragraph" w:styleId="TOC2">
    <w:name w:val="toc 2"/>
    <w:basedOn w:val="Normal"/>
    <w:next w:val="Normal"/>
    <w:autoRedefine/>
    <w:uiPriority w:val="39"/>
    <w:unhideWhenUsed/>
    <w:rsid w:val="0019034F"/>
    <w:pPr>
      <w:spacing w:after="100"/>
      <w:ind w:left="220"/>
    </w:pPr>
  </w:style>
  <w:style w:type="paragraph" w:styleId="TOC3">
    <w:name w:val="toc 3"/>
    <w:basedOn w:val="Normal"/>
    <w:next w:val="Normal"/>
    <w:autoRedefine/>
    <w:uiPriority w:val="39"/>
    <w:unhideWhenUsed/>
    <w:rsid w:val="0019034F"/>
    <w:pPr>
      <w:spacing w:after="100"/>
      <w:ind w:left="440"/>
    </w:pPr>
  </w:style>
  <w:style w:type="character" w:styleId="Hyperlink">
    <w:name w:val="Hyperlink"/>
    <w:basedOn w:val="DefaultParagraphFont"/>
    <w:uiPriority w:val="99"/>
    <w:unhideWhenUsed/>
    <w:rsid w:val="0019034F"/>
    <w:rPr>
      <w:color w:val="0563C1" w:themeColor="hyperlink"/>
      <w:u w:val="single"/>
    </w:rPr>
  </w:style>
  <w:style w:type="character" w:styleId="PlaceholderText">
    <w:name w:val="Placeholder Text"/>
    <w:basedOn w:val="DefaultParagraphFont"/>
    <w:uiPriority w:val="99"/>
    <w:semiHidden/>
    <w:rsid w:val="008B5C37"/>
    <w:rPr>
      <w:color w:val="808080"/>
    </w:rPr>
  </w:style>
  <w:style w:type="character" w:customStyle="1" w:styleId="UnresolvedMention">
    <w:name w:val="Unresolved Mention"/>
    <w:basedOn w:val="DefaultParagraphFont"/>
    <w:uiPriority w:val="99"/>
    <w:semiHidden/>
    <w:unhideWhenUsed/>
    <w:rsid w:val="003B14BE"/>
    <w:rPr>
      <w:color w:val="808080"/>
      <w:shd w:val="clear" w:color="auto" w:fill="E6E6E6"/>
    </w:rPr>
  </w:style>
  <w:style w:type="paragraph" w:styleId="Revision">
    <w:name w:val="Revision"/>
    <w:hidden/>
    <w:uiPriority w:val="99"/>
    <w:semiHidden/>
    <w:rsid w:val="00D318F5"/>
    <w:pPr>
      <w:spacing w:after="0" w:line="240" w:lineRule="auto"/>
    </w:pPr>
  </w:style>
  <w:style w:type="paragraph" w:customStyle="1" w:styleId="BodyTextAfterTableGraphic">
    <w:name w:val="Body Text After Table/Graphic"/>
    <w:basedOn w:val="Normal"/>
    <w:rsid w:val="00AD1F18"/>
    <w:pPr>
      <w:tabs>
        <w:tab w:val="left" w:pos="360"/>
        <w:tab w:val="left" w:pos="720"/>
        <w:tab w:val="left" w:pos="1080"/>
        <w:tab w:val="left" w:pos="1440"/>
        <w:tab w:val="left" w:pos="1800"/>
      </w:tabs>
      <w:spacing w:before="270" w:after="135" w:line="300" w:lineRule="auto"/>
    </w:pPr>
    <w:rPr>
      <w:rFonts w:ascii="Arial" w:eastAsia="Times New Roman" w:hAnsi="Arial" w:cs="Times New Roman"/>
      <w:sz w:val="18"/>
      <w:szCs w:val="18"/>
    </w:rPr>
  </w:style>
  <w:style w:type="character" w:customStyle="1" w:styleId="Heading5Char">
    <w:name w:val="Heading 5 Char"/>
    <w:basedOn w:val="DefaultParagraphFont"/>
    <w:link w:val="Heading5"/>
    <w:uiPriority w:val="9"/>
    <w:semiHidden/>
    <w:rsid w:val="00F87DB1"/>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F87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DB1"/>
  </w:style>
  <w:style w:type="paragraph" w:customStyle="1" w:styleId="Table">
    <w:name w:val="Table"/>
    <w:basedOn w:val="Normal"/>
    <w:link w:val="TableChar"/>
    <w:qFormat/>
    <w:rsid w:val="00F87DB1"/>
    <w:pPr>
      <w:spacing w:before="40" w:after="40" w:line="240" w:lineRule="auto"/>
    </w:pPr>
    <w:rPr>
      <w:rFonts w:ascii="Trebuchet MS" w:eastAsia="Times New Roman" w:hAnsi="Trebuchet MS" w:cs="Times New Roman"/>
      <w:lang w:eastAsia="en-GB"/>
    </w:rPr>
  </w:style>
  <w:style w:type="table" w:customStyle="1" w:styleId="GridTable4-Accent11">
    <w:name w:val="Grid Table 4 - Accent 11"/>
    <w:basedOn w:val="TableNormal"/>
    <w:uiPriority w:val="49"/>
    <w:rsid w:val="00F87DB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bulletswithspacing">
    <w:name w:val="bullets with spacing"/>
    <w:basedOn w:val="ListParagraph"/>
    <w:qFormat/>
    <w:rsid w:val="00F87DB1"/>
    <w:pPr>
      <w:numPr>
        <w:numId w:val="2"/>
      </w:numPr>
      <w:spacing w:before="200" w:after="0"/>
      <w:ind w:left="357" w:hanging="357"/>
      <w:contextualSpacing w:val="0"/>
    </w:pPr>
  </w:style>
  <w:style w:type="character" w:customStyle="1" w:styleId="bulletsnospaceChar">
    <w:name w:val="bullets no space Char"/>
    <w:basedOn w:val="DefaultParagraphFont"/>
    <w:link w:val="bulletsnospace"/>
    <w:locked/>
    <w:rsid w:val="00F87DB1"/>
    <w:rPr>
      <w:rFonts w:eastAsiaTheme="minorEastAsia" w:cs="Times New Roman"/>
      <w:lang w:eastAsia="en-GB"/>
    </w:rPr>
  </w:style>
  <w:style w:type="paragraph" w:customStyle="1" w:styleId="bulletsnospace">
    <w:name w:val="bullets no space"/>
    <w:basedOn w:val="bulletswithspacing"/>
    <w:link w:val="bulletsnospaceChar"/>
    <w:qFormat/>
    <w:rsid w:val="00F87DB1"/>
    <w:pPr>
      <w:spacing w:before="0"/>
      <w:contextualSpacing/>
    </w:pPr>
    <w:rPr>
      <w:rFonts w:cs="Times New Roman"/>
    </w:rPr>
  </w:style>
  <w:style w:type="character" w:customStyle="1" w:styleId="TableChar">
    <w:name w:val="Table Char"/>
    <w:basedOn w:val="DefaultParagraphFont"/>
    <w:link w:val="Table"/>
    <w:locked/>
    <w:rsid w:val="00F87DB1"/>
    <w:rPr>
      <w:rFonts w:ascii="Trebuchet MS" w:eastAsia="Times New Roman" w:hAnsi="Trebuchet MS" w:cs="Times New Roman"/>
      <w:lang w:eastAsia="en-GB"/>
    </w:rPr>
  </w:style>
  <w:style w:type="paragraph" w:customStyle="1" w:styleId="Normalaftertable">
    <w:name w:val="Normal after table"/>
    <w:basedOn w:val="Normal"/>
    <w:link w:val="NormalaftertableChar"/>
    <w:qFormat/>
    <w:rsid w:val="00F87DB1"/>
    <w:pPr>
      <w:spacing w:before="200" w:after="200" w:line="276" w:lineRule="auto"/>
    </w:pPr>
    <w:rPr>
      <w:rFonts w:eastAsiaTheme="minorEastAsia"/>
      <w:lang w:eastAsia="en-GB"/>
    </w:rPr>
  </w:style>
  <w:style w:type="character" w:customStyle="1" w:styleId="NormalaftertableChar">
    <w:name w:val="Normal after table Char"/>
    <w:basedOn w:val="DefaultParagraphFont"/>
    <w:link w:val="Normalaftertable"/>
    <w:rsid w:val="00F87DB1"/>
    <w:rPr>
      <w:rFonts w:eastAsiaTheme="minorEastAsia"/>
      <w:lang w:eastAsia="en-GB"/>
    </w:rPr>
  </w:style>
  <w:style w:type="paragraph" w:customStyle="1" w:styleId="Normalbeforenon-spacebullet">
    <w:name w:val="Normal before non-space bullet"/>
    <w:basedOn w:val="Normal"/>
    <w:link w:val="Normalbeforenon-spacebulletChar"/>
    <w:qFormat/>
    <w:rsid w:val="00F87DB1"/>
    <w:pPr>
      <w:spacing w:after="0" w:line="276" w:lineRule="auto"/>
    </w:pPr>
  </w:style>
  <w:style w:type="paragraph" w:customStyle="1" w:styleId="bullets2nospace">
    <w:name w:val="bullets 2 no space"/>
    <w:basedOn w:val="bulletsnospace"/>
    <w:link w:val="bullets2nospaceChar"/>
    <w:qFormat/>
    <w:rsid w:val="00F87DB1"/>
    <w:pPr>
      <w:numPr>
        <w:ilvl w:val="1"/>
        <w:numId w:val="3"/>
      </w:numPr>
      <w:ind w:left="714" w:hanging="357"/>
    </w:pPr>
    <w:rPr>
      <w:rFonts w:cstheme="minorBidi"/>
    </w:rPr>
  </w:style>
  <w:style w:type="character" w:customStyle="1" w:styleId="Normalbeforenon-spacebulletChar">
    <w:name w:val="Normal before non-space bullet Char"/>
    <w:basedOn w:val="DefaultParagraphFont"/>
    <w:link w:val="Normalbeforenon-spacebullet"/>
    <w:rsid w:val="00F87DB1"/>
  </w:style>
  <w:style w:type="character" w:customStyle="1" w:styleId="bullets2nospaceChar">
    <w:name w:val="bullets 2 no space Char"/>
    <w:basedOn w:val="DefaultParagraphFont"/>
    <w:link w:val="bullets2nospace"/>
    <w:rsid w:val="00F87DB1"/>
    <w:rPr>
      <w:rFonts w:eastAsiaTheme="minorEastAsia"/>
      <w:lang w:eastAsia="en-GB"/>
    </w:rPr>
  </w:style>
  <w:style w:type="paragraph" w:customStyle="1" w:styleId="Normalbefore">
    <w:name w:val="Normal before"/>
    <w:basedOn w:val="Normal"/>
    <w:link w:val="NormalbeforeChar"/>
    <w:qFormat/>
    <w:rsid w:val="00F87DB1"/>
    <w:pPr>
      <w:spacing w:before="200" w:after="200" w:line="276" w:lineRule="auto"/>
    </w:pPr>
    <w:rPr>
      <w:rFonts w:eastAsiaTheme="minorEastAsia"/>
      <w:lang w:eastAsia="en-GB"/>
    </w:rPr>
  </w:style>
  <w:style w:type="paragraph" w:customStyle="1" w:styleId="tablecentral">
    <w:name w:val="table central"/>
    <w:basedOn w:val="Table"/>
    <w:link w:val="tablecentralChar"/>
    <w:qFormat/>
    <w:rsid w:val="00F87DB1"/>
    <w:pPr>
      <w:spacing w:line="276" w:lineRule="auto"/>
      <w:jc w:val="center"/>
    </w:pPr>
  </w:style>
  <w:style w:type="character" w:customStyle="1" w:styleId="NormalbeforeChar">
    <w:name w:val="Normal before Char"/>
    <w:basedOn w:val="DefaultParagraphFont"/>
    <w:link w:val="Normalbefore"/>
    <w:rsid w:val="00F87DB1"/>
    <w:rPr>
      <w:rFonts w:eastAsiaTheme="minorEastAsia"/>
      <w:lang w:eastAsia="en-GB"/>
    </w:rPr>
  </w:style>
  <w:style w:type="character" w:customStyle="1" w:styleId="tablecentralChar">
    <w:name w:val="table central Char"/>
    <w:basedOn w:val="TableChar"/>
    <w:link w:val="tablecentral"/>
    <w:rsid w:val="00F87DB1"/>
    <w:rPr>
      <w:rFonts w:ascii="Trebuchet MS" w:eastAsia="Times New Roman" w:hAnsi="Trebuchet MS" w:cs="Times New Roman"/>
      <w:lang w:eastAsia="en-GB"/>
    </w:rPr>
  </w:style>
  <w:style w:type="paragraph" w:customStyle="1" w:styleId="Appendix1">
    <w:name w:val="Appendix 1"/>
    <w:basedOn w:val="Heading1"/>
    <w:next w:val="Normal"/>
    <w:link w:val="Appendix1Char"/>
    <w:qFormat/>
    <w:rsid w:val="00F87DB1"/>
    <w:pPr>
      <w:pageBreakBefore/>
      <w:numPr>
        <w:numId w:val="4"/>
      </w:numPr>
      <w:spacing w:before="480" w:line="276" w:lineRule="auto"/>
    </w:pPr>
    <w:rPr>
      <w:rFonts w:asciiTheme="majorHAnsi" w:eastAsiaTheme="majorEastAsia" w:hAnsiTheme="majorHAnsi" w:cstheme="majorBidi"/>
      <w:bCs/>
      <w:color w:val="2F5496" w:themeColor="accent1" w:themeShade="BF"/>
      <w:spacing w:val="-13"/>
      <w:sz w:val="28"/>
      <w:szCs w:val="28"/>
      <w:lang w:eastAsia="en-GB"/>
    </w:rPr>
  </w:style>
  <w:style w:type="character" w:customStyle="1" w:styleId="Appendix1Char">
    <w:name w:val="Appendix 1 Char"/>
    <w:basedOn w:val="Heading1Char"/>
    <w:link w:val="Appendix1"/>
    <w:rsid w:val="00F87DB1"/>
    <w:rPr>
      <w:rFonts w:asciiTheme="majorHAnsi" w:eastAsiaTheme="majorEastAsia" w:hAnsiTheme="majorHAnsi" w:cstheme="majorBidi"/>
      <w:b/>
      <w:bCs/>
      <w:color w:val="2F5496" w:themeColor="accent1" w:themeShade="BF"/>
      <w:spacing w:val="-13"/>
      <w:sz w:val="28"/>
      <w:szCs w:val="28"/>
      <w:lang w:val="en-US" w:eastAsia="en-GB"/>
      <w14:textOutline w14:w="0" w14:cap="flat" w14:cmpd="sng" w14:algn="ctr">
        <w14:noFill/>
        <w14:prstDash w14:val="solid"/>
        <w14:round/>
      </w14:textOutline>
      <w14:props3d w14:extrusionH="57150" w14:contourW="0" w14:prstMaterial="softEdge">
        <w14:bevelT w14:w="38100" w14:h="38100" w14:prst="angle"/>
      </w14:props3d>
    </w:rPr>
  </w:style>
  <w:style w:type="paragraph" w:customStyle="1" w:styleId="Appendix2">
    <w:name w:val="Appendix 2"/>
    <w:basedOn w:val="Heading2"/>
    <w:next w:val="Normal"/>
    <w:link w:val="Appendix2Char"/>
    <w:qFormat/>
    <w:rsid w:val="00F87DB1"/>
    <w:pPr>
      <w:numPr>
        <w:ilvl w:val="1"/>
        <w:numId w:val="4"/>
      </w:numPr>
      <w:spacing w:before="200" w:line="276" w:lineRule="auto"/>
    </w:pPr>
    <w:rPr>
      <w:rFonts w:asciiTheme="majorHAnsi" w:hAnsiTheme="majorHAnsi"/>
      <w:bCs/>
      <w:color w:val="4472C4" w:themeColor="accent1"/>
      <w:lang w:eastAsia="en-GB"/>
    </w:rPr>
  </w:style>
  <w:style w:type="character" w:customStyle="1" w:styleId="Appendix2Char">
    <w:name w:val="Appendix 2 Char"/>
    <w:basedOn w:val="Heading2Char"/>
    <w:link w:val="Appendix2"/>
    <w:rsid w:val="00F87DB1"/>
    <w:rPr>
      <w:rFonts w:asciiTheme="majorHAnsi" w:eastAsiaTheme="majorEastAsia" w:hAnsiTheme="majorHAnsi" w:cstheme="majorBidi"/>
      <w:b/>
      <w:bCs/>
      <w:color w:val="4472C4" w:themeColor="accent1"/>
      <w:sz w:val="26"/>
      <w:szCs w:val="26"/>
      <w:lang w:eastAsia="en-GB"/>
    </w:rPr>
  </w:style>
  <w:style w:type="paragraph" w:customStyle="1" w:styleId="Appendix3">
    <w:name w:val="Appendix 3"/>
    <w:basedOn w:val="Appendix2"/>
    <w:qFormat/>
    <w:rsid w:val="00F87DB1"/>
    <w:pPr>
      <w:numPr>
        <w:ilvl w:val="2"/>
      </w:numPr>
      <w:tabs>
        <w:tab w:val="clear" w:pos="720"/>
      </w:tabs>
      <w:ind w:left="2160" w:hanging="180"/>
    </w:pPr>
  </w:style>
  <w:style w:type="character" w:customStyle="1" w:styleId="ListParagraphChar">
    <w:name w:val="List Paragraph Char"/>
    <w:basedOn w:val="DefaultParagraphFont"/>
    <w:link w:val="ListParagraph"/>
    <w:uiPriority w:val="34"/>
    <w:rsid w:val="00F87DB1"/>
    <w:rPr>
      <w:rFonts w:eastAsiaTheme="minorEastAsia"/>
      <w:lang w:eastAsia="en-GB"/>
    </w:rPr>
  </w:style>
  <w:style w:type="table" w:styleId="TableGrid">
    <w:name w:val="Table Grid"/>
    <w:basedOn w:val="TableNormal"/>
    <w:uiPriority w:val="59"/>
    <w:rsid w:val="00FF6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aliases w:val="l1,Bullet1,BU Bullet Paragraph,BU,BU bullet,bullet Char,Bullet Char,BU Bullet Paragraph Char,BU Char,BU Bullet Paragraph1,BU1,bullet1,BU bullet1,bullet Char1,Bullet Char1,BU Bullet Paragraph Char1,BU Char Char Char1 Char,bullet,B"/>
    <w:basedOn w:val="Normal"/>
    <w:uiPriority w:val="99"/>
    <w:qFormat/>
    <w:rsid w:val="0091090E"/>
    <w:pPr>
      <w:numPr>
        <w:numId w:val="6"/>
      </w:numPr>
      <w:adjustRightInd w:val="0"/>
      <w:spacing w:after="240" w:line="240" w:lineRule="auto"/>
      <w:jc w:val="both"/>
      <w:outlineLvl w:val="0"/>
    </w:pPr>
    <w:rPr>
      <w:rFonts w:ascii="Arial" w:eastAsia="Arial" w:hAnsi="Arial" w:cs="Arial"/>
      <w:sz w:val="20"/>
      <w:szCs w:val="20"/>
      <w:lang w:eastAsia="en-GB"/>
    </w:rPr>
  </w:style>
  <w:style w:type="paragraph" w:customStyle="1" w:styleId="Level2">
    <w:name w:val="Level 2"/>
    <w:aliases w:val="l2"/>
    <w:basedOn w:val="Normal"/>
    <w:link w:val="Level2Char"/>
    <w:uiPriority w:val="99"/>
    <w:qFormat/>
    <w:rsid w:val="0091090E"/>
    <w:pPr>
      <w:numPr>
        <w:ilvl w:val="1"/>
        <w:numId w:val="6"/>
      </w:numPr>
      <w:adjustRightInd w:val="0"/>
      <w:spacing w:after="240" w:line="240" w:lineRule="auto"/>
      <w:jc w:val="both"/>
      <w:outlineLvl w:val="1"/>
    </w:pPr>
    <w:rPr>
      <w:rFonts w:ascii="Arial" w:eastAsia="Arial" w:hAnsi="Arial" w:cs="Arial"/>
      <w:szCs w:val="20"/>
      <w:lang w:eastAsia="en-GB"/>
    </w:rPr>
  </w:style>
  <w:style w:type="paragraph" w:customStyle="1" w:styleId="Level3">
    <w:name w:val="Level 3"/>
    <w:aliases w:val="l3"/>
    <w:basedOn w:val="Normal"/>
    <w:uiPriority w:val="99"/>
    <w:qFormat/>
    <w:rsid w:val="0091090E"/>
    <w:pPr>
      <w:numPr>
        <w:ilvl w:val="2"/>
        <w:numId w:val="6"/>
      </w:numPr>
      <w:adjustRightInd w:val="0"/>
      <w:spacing w:after="240" w:line="240" w:lineRule="auto"/>
      <w:jc w:val="both"/>
      <w:outlineLvl w:val="2"/>
    </w:pPr>
    <w:rPr>
      <w:rFonts w:ascii="Arial" w:eastAsia="Arial" w:hAnsi="Arial" w:cs="Arial"/>
      <w:szCs w:val="20"/>
      <w:lang w:eastAsia="en-GB"/>
    </w:rPr>
  </w:style>
  <w:style w:type="paragraph" w:customStyle="1" w:styleId="Level4">
    <w:name w:val="Level 4"/>
    <w:aliases w:val="4"/>
    <w:basedOn w:val="Normal"/>
    <w:uiPriority w:val="99"/>
    <w:qFormat/>
    <w:rsid w:val="0091090E"/>
    <w:pPr>
      <w:numPr>
        <w:ilvl w:val="3"/>
        <w:numId w:val="6"/>
      </w:numPr>
      <w:adjustRightInd w:val="0"/>
      <w:spacing w:after="240" w:line="240" w:lineRule="auto"/>
      <w:jc w:val="both"/>
      <w:outlineLvl w:val="3"/>
    </w:pPr>
    <w:rPr>
      <w:rFonts w:ascii="Arial" w:eastAsia="Arial" w:hAnsi="Arial" w:cs="Arial"/>
      <w:sz w:val="20"/>
      <w:szCs w:val="20"/>
      <w:lang w:eastAsia="en-GB"/>
    </w:rPr>
  </w:style>
  <w:style w:type="paragraph" w:customStyle="1" w:styleId="Level5">
    <w:name w:val="Level 5"/>
    <w:aliases w:val="l5"/>
    <w:basedOn w:val="Normal"/>
    <w:uiPriority w:val="99"/>
    <w:qFormat/>
    <w:rsid w:val="0091090E"/>
    <w:pPr>
      <w:numPr>
        <w:ilvl w:val="4"/>
        <w:numId w:val="6"/>
      </w:numPr>
      <w:adjustRightInd w:val="0"/>
      <w:spacing w:after="240" w:line="240" w:lineRule="auto"/>
      <w:jc w:val="both"/>
      <w:outlineLvl w:val="4"/>
    </w:pPr>
    <w:rPr>
      <w:rFonts w:ascii="Arial" w:eastAsia="Arial" w:hAnsi="Arial" w:cs="Arial"/>
      <w:sz w:val="20"/>
      <w:szCs w:val="20"/>
      <w:lang w:eastAsia="en-GB"/>
    </w:rPr>
  </w:style>
  <w:style w:type="paragraph" w:customStyle="1" w:styleId="Level6">
    <w:name w:val="Level 6"/>
    <w:basedOn w:val="Normal"/>
    <w:uiPriority w:val="99"/>
    <w:qFormat/>
    <w:rsid w:val="0091090E"/>
    <w:pPr>
      <w:numPr>
        <w:ilvl w:val="5"/>
        <w:numId w:val="6"/>
      </w:numPr>
      <w:adjustRightInd w:val="0"/>
      <w:spacing w:after="240" w:line="240" w:lineRule="auto"/>
      <w:jc w:val="both"/>
      <w:outlineLvl w:val="5"/>
    </w:pPr>
    <w:rPr>
      <w:rFonts w:ascii="Arial" w:eastAsia="Arial" w:hAnsi="Arial" w:cs="Arial"/>
      <w:sz w:val="20"/>
      <w:szCs w:val="20"/>
      <w:lang w:eastAsia="en-GB"/>
    </w:rPr>
  </w:style>
  <w:style w:type="character" w:customStyle="1" w:styleId="Level2Char">
    <w:name w:val="Level 2 Char"/>
    <w:link w:val="Level2"/>
    <w:uiPriority w:val="99"/>
    <w:locked/>
    <w:rsid w:val="0091090E"/>
    <w:rPr>
      <w:rFonts w:ascii="Arial" w:eastAsia="Arial" w:hAnsi="Arial" w:cs="Arial"/>
      <w:szCs w:val="20"/>
      <w:lang w:eastAsia="en-GB"/>
    </w:rPr>
  </w:style>
  <w:style w:type="paragraph" w:styleId="Header">
    <w:name w:val="header"/>
    <w:basedOn w:val="Normal"/>
    <w:link w:val="HeaderChar"/>
    <w:uiPriority w:val="99"/>
    <w:unhideWhenUsed/>
    <w:rsid w:val="00AF33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3B0"/>
  </w:style>
  <w:style w:type="table" w:customStyle="1" w:styleId="GridTable1Light-Accent51">
    <w:name w:val="Grid Table 1 Light - Accent 51"/>
    <w:basedOn w:val="TableNormal"/>
    <w:uiPriority w:val="46"/>
    <w:rsid w:val="005D050D"/>
    <w:pPr>
      <w:spacing w:after="0" w:line="240" w:lineRule="auto"/>
    </w:pPr>
    <w:tblPr>
      <w:tblStyleRowBandSize w:val="1"/>
      <w:tblStyleColBandSize w:val="1"/>
      <w:tblInd w:w="0" w:type="nil"/>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3517"/>
    <w:pPr>
      <w:keepNext/>
      <w:keepLines/>
      <w:spacing w:before="240" w:after="0"/>
      <w:outlineLvl w:val="0"/>
    </w:pPr>
    <w:rPr>
      <w:rFonts w:ascii="Trebuchet MS" w:eastAsiaTheme="minorEastAsia" w:hAnsi="Trebuchet MS"/>
      <w:b/>
      <w:color w:val="FFC000" w:themeColor="accent4"/>
      <w:sz w:val="36"/>
      <w:szCs w:val="36"/>
      <w:lang w:val="en-US"/>
      <w14:textOutline w14:w="0" w14:cap="flat" w14:cmpd="sng" w14:algn="ctr">
        <w14:noFill/>
        <w14:prstDash w14:val="solid"/>
        <w14:round/>
      </w14:textOutline>
      <w14:props3d w14:extrusionH="57150" w14:contourW="0" w14:prstMaterial="softEdge">
        <w14:bevelT w14:w="38100" w14:h="38100" w14:prst="angle"/>
      </w14:props3d>
    </w:rPr>
  </w:style>
  <w:style w:type="paragraph" w:styleId="Heading2">
    <w:name w:val="heading 2"/>
    <w:basedOn w:val="Normal"/>
    <w:next w:val="Normal"/>
    <w:link w:val="Heading2Char"/>
    <w:uiPriority w:val="9"/>
    <w:unhideWhenUsed/>
    <w:qFormat/>
    <w:rsid w:val="00F26CA1"/>
    <w:pPr>
      <w:keepNext/>
      <w:keepLines/>
      <w:spacing w:before="40" w:after="0"/>
      <w:outlineLvl w:val="1"/>
    </w:pPr>
    <w:rPr>
      <w:rFonts w:ascii="Trebuchet MS" w:eastAsiaTheme="majorEastAsia" w:hAnsi="Trebuchet MS" w:cstheme="majorBidi"/>
      <w:b/>
      <w:color w:val="00B050"/>
      <w:sz w:val="26"/>
      <w:szCs w:val="26"/>
    </w:rPr>
  </w:style>
  <w:style w:type="paragraph" w:styleId="Heading3">
    <w:name w:val="heading 3"/>
    <w:basedOn w:val="Normal"/>
    <w:next w:val="Normal"/>
    <w:link w:val="Heading3Char"/>
    <w:uiPriority w:val="9"/>
    <w:unhideWhenUsed/>
    <w:qFormat/>
    <w:rsid w:val="00F26CA1"/>
    <w:pPr>
      <w:keepNext/>
      <w:keepLines/>
      <w:spacing w:before="40" w:after="0"/>
      <w:outlineLvl w:val="2"/>
    </w:pPr>
    <w:rPr>
      <w:rFonts w:ascii="Trebuchet MS" w:eastAsiaTheme="majorEastAsia" w:hAnsi="Trebuchet MS" w:cstheme="majorBidi"/>
      <w:b/>
      <w:color w:val="0070C0"/>
      <w:sz w:val="24"/>
      <w:szCs w:val="24"/>
    </w:rPr>
  </w:style>
  <w:style w:type="paragraph" w:styleId="Heading4">
    <w:name w:val="heading 4"/>
    <w:basedOn w:val="Normal"/>
    <w:next w:val="Normal"/>
    <w:link w:val="Heading4Char"/>
    <w:uiPriority w:val="9"/>
    <w:unhideWhenUsed/>
    <w:qFormat/>
    <w:rsid w:val="0081168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87DB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517"/>
    <w:rPr>
      <w:rFonts w:ascii="Trebuchet MS" w:eastAsiaTheme="minorEastAsia" w:hAnsi="Trebuchet MS"/>
      <w:b/>
      <w:color w:val="FFC000" w:themeColor="accent4"/>
      <w:sz w:val="36"/>
      <w:szCs w:val="36"/>
      <w:lang w:val="en-US"/>
      <w14:textOutline w14:w="0" w14:cap="flat" w14:cmpd="sng" w14:algn="ctr">
        <w14:noFill/>
        <w14:prstDash w14:val="solid"/>
        <w14:round/>
      </w14:textOutline>
      <w14:props3d w14:extrusionH="57150" w14:contourW="0" w14:prstMaterial="softEdge">
        <w14:bevelT w14:w="38100" w14:h="38100" w14:prst="angle"/>
      </w14:props3d>
    </w:rPr>
  </w:style>
  <w:style w:type="character" w:customStyle="1" w:styleId="Heading2Char">
    <w:name w:val="Heading 2 Char"/>
    <w:basedOn w:val="DefaultParagraphFont"/>
    <w:link w:val="Heading2"/>
    <w:uiPriority w:val="9"/>
    <w:rsid w:val="00F26CA1"/>
    <w:rPr>
      <w:rFonts w:ascii="Trebuchet MS" w:eastAsiaTheme="majorEastAsia" w:hAnsi="Trebuchet MS" w:cstheme="majorBidi"/>
      <w:b/>
      <w:color w:val="00B050"/>
      <w:sz w:val="26"/>
      <w:szCs w:val="26"/>
    </w:rPr>
  </w:style>
  <w:style w:type="character" w:customStyle="1" w:styleId="Heading3Char">
    <w:name w:val="Heading 3 Char"/>
    <w:basedOn w:val="DefaultParagraphFont"/>
    <w:link w:val="Heading3"/>
    <w:uiPriority w:val="9"/>
    <w:rsid w:val="00F26CA1"/>
    <w:rPr>
      <w:rFonts w:ascii="Trebuchet MS" w:eastAsiaTheme="majorEastAsia" w:hAnsi="Trebuchet MS" w:cstheme="majorBidi"/>
      <w:b/>
      <w:color w:val="0070C0"/>
      <w:sz w:val="24"/>
      <w:szCs w:val="24"/>
    </w:rPr>
  </w:style>
  <w:style w:type="character" w:customStyle="1" w:styleId="Heading4Char">
    <w:name w:val="Heading 4 Char"/>
    <w:basedOn w:val="DefaultParagraphFont"/>
    <w:link w:val="Heading4"/>
    <w:uiPriority w:val="9"/>
    <w:rsid w:val="00811682"/>
    <w:rPr>
      <w:rFonts w:asciiTheme="majorHAnsi" w:eastAsiaTheme="majorEastAsia" w:hAnsiTheme="majorHAnsi" w:cstheme="majorBidi"/>
      <w:i/>
      <w:iCs/>
      <w:color w:val="2F5496" w:themeColor="accent1" w:themeShade="BF"/>
    </w:rPr>
  </w:style>
  <w:style w:type="paragraph" w:styleId="ListParagraph">
    <w:name w:val="List Paragraph"/>
    <w:basedOn w:val="Normal"/>
    <w:link w:val="ListParagraphChar"/>
    <w:uiPriority w:val="34"/>
    <w:qFormat/>
    <w:rsid w:val="005A1840"/>
    <w:pPr>
      <w:spacing w:after="200" w:line="276" w:lineRule="auto"/>
      <w:ind w:left="720"/>
      <w:contextualSpacing/>
    </w:pPr>
    <w:rPr>
      <w:rFonts w:eastAsiaTheme="minorEastAsia"/>
      <w:lang w:eastAsia="en-GB"/>
    </w:rPr>
  </w:style>
  <w:style w:type="character" w:styleId="CommentReference">
    <w:name w:val="annotation reference"/>
    <w:basedOn w:val="DefaultParagraphFont"/>
    <w:uiPriority w:val="99"/>
    <w:semiHidden/>
    <w:unhideWhenUsed/>
    <w:rsid w:val="005A1840"/>
    <w:rPr>
      <w:sz w:val="16"/>
      <w:szCs w:val="16"/>
    </w:rPr>
  </w:style>
  <w:style w:type="paragraph" w:styleId="CommentText">
    <w:name w:val="annotation text"/>
    <w:basedOn w:val="Normal"/>
    <w:link w:val="CommentTextChar"/>
    <w:uiPriority w:val="99"/>
    <w:unhideWhenUsed/>
    <w:rsid w:val="005A1840"/>
    <w:pPr>
      <w:spacing w:after="200" w:line="240" w:lineRule="auto"/>
    </w:pPr>
    <w:rPr>
      <w:rFonts w:eastAsiaTheme="minorEastAsia"/>
      <w:sz w:val="20"/>
      <w:szCs w:val="20"/>
      <w:lang w:eastAsia="en-GB"/>
    </w:rPr>
  </w:style>
  <w:style w:type="character" w:customStyle="1" w:styleId="CommentTextChar">
    <w:name w:val="Comment Text Char"/>
    <w:basedOn w:val="DefaultParagraphFont"/>
    <w:link w:val="CommentText"/>
    <w:uiPriority w:val="99"/>
    <w:rsid w:val="005A1840"/>
    <w:rPr>
      <w:rFonts w:eastAsiaTheme="minorEastAsia"/>
      <w:sz w:val="20"/>
      <w:szCs w:val="20"/>
      <w:lang w:eastAsia="en-GB"/>
    </w:rPr>
  </w:style>
  <w:style w:type="paragraph" w:styleId="BalloonText">
    <w:name w:val="Balloon Text"/>
    <w:basedOn w:val="Normal"/>
    <w:link w:val="BalloonTextChar"/>
    <w:uiPriority w:val="99"/>
    <w:semiHidden/>
    <w:unhideWhenUsed/>
    <w:rsid w:val="005A18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84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D0E33"/>
    <w:pPr>
      <w:spacing w:after="160"/>
    </w:pPr>
    <w:rPr>
      <w:rFonts w:eastAsiaTheme="minorHAnsi"/>
      <w:b/>
      <w:bCs/>
      <w:lang w:eastAsia="en-US"/>
    </w:rPr>
  </w:style>
  <w:style w:type="character" w:customStyle="1" w:styleId="CommentSubjectChar">
    <w:name w:val="Comment Subject Char"/>
    <w:basedOn w:val="CommentTextChar"/>
    <w:link w:val="CommentSubject"/>
    <w:uiPriority w:val="99"/>
    <w:semiHidden/>
    <w:rsid w:val="00AD0E33"/>
    <w:rPr>
      <w:rFonts w:eastAsiaTheme="minorEastAsia"/>
      <w:b/>
      <w:bCs/>
      <w:sz w:val="20"/>
      <w:szCs w:val="20"/>
      <w:lang w:eastAsia="en-GB"/>
    </w:rPr>
  </w:style>
  <w:style w:type="paragraph" w:styleId="Caption">
    <w:name w:val="caption"/>
    <w:basedOn w:val="Normal"/>
    <w:next w:val="Normal"/>
    <w:uiPriority w:val="35"/>
    <w:unhideWhenUsed/>
    <w:qFormat/>
    <w:rsid w:val="0078498F"/>
    <w:pPr>
      <w:spacing w:after="200" w:line="240" w:lineRule="auto"/>
    </w:pPr>
    <w:rPr>
      <w:rFonts w:eastAsiaTheme="minorEastAsia"/>
      <w:b/>
      <w:bCs/>
      <w:color w:val="4472C4" w:themeColor="accent1"/>
      <w:sz w:val="18"/>
      <w:szCs w:val="18"/>
      <w:lang w:eastAsia="en-GB"/>
    </w:rPr>
  </w:style>
  <w:style w:type="paragraph" w:styleId="NoSpacing">
    <w:name w:val="No Spacing"/>
    <w:link w:val="NoSpacingChar"/>
    <w:uiPriority w:val="1"/>
    <w:qFormat/>
    <w:rsid w:val="0037324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73240"/>
    <w:rPr>
      <w:rFonts w:eastAsiaTheme="minorEastAsia"/>
      <w:lang w:val="en-US"/>
    </w:rPr>
  </w:style>
  <w:style w:type="paragraph" w:styleId="FootnoteText">
    <w:name w:val="footnote text"/>
    <w:basedOn w:val="Normal"/>
    <w:link w:val="FootnoteTextChar"/>
    <w:unhideWhenUsed/>
    <w:rsid w:val="00420677"/>
    <w:pPr>
      <w:spacing w:after="0" w:line="240" w:lineRule="auto"/>
    </w:pPr>
    <w:rPr>
      <w:rFonts w:eastAsiaTheme="minorEastAsia"/>
      <w:sz w:val="20"/>
      <w:szCs w:val="20"/>
      <w:lang w:eastAsia="en-GB"/>
    </w:rPr>
  </w:style>
  <w:style w:type="character" w:customStyle="1" w:styleId="FootnoteTextChar">
    <w:name w:val="Footnote Text Char"/>
    <w:basedOn w:val="DefaultParagraphFont"/>
    <w:link w:val="FootnoteText"/>
    <w:rsid w:val="00420677"/>
    <w:rPr>
      <w:rFonts w:eastAsiaTheme="minorEastAsia"/>
      <w:sz w:val="20"/>
      <w:szCs w:val="20"/>
      <w:lang w:eastAsia="en-GB"/>
    </w:rPr>
  </w:style>
  <w:style w:type="character" w:styleId="FootnoteReference">
    <w:name w:val="footnote reference"/>
    <w:basedOn w:val="DefaultParagraphFont"/>
    <w:unhideWhenUsed/>
    <w:rsid w:val="00420677"/>
    <w:rPr>
      <w:vertAlign w:val="superscript"/>
    </w:rPr>
  </w:style>
  <w:style w:type="paragraph" w:styleId="EndnoteText">
    <w:name w:val="endnote text"/>
    <w:basedOn w:val="Normal"/>
    <w:link w:val="EndnoteTextChar"/>
    <w:uiPriority w:val="99"/>
    <w:semiHidden/>
    <w:unhideWhenUsed/>
    <w:rsid w:val="004206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0677"/>
    <w:rPr>
      <w:sz w:val="20"/>
      <w:szCs w:val="20"/>
    </w:rPr>
  </w:style>
  <w:style w:type="character" w:styleId="EndnoteReference">
    <w:name w:val="endnote reference"/>
    <w:basedOn w:val="DefaultParagraphFont"/>
    <w:uiPriority w:val="99"/>
    <w:semiHidden/>
    <w:unhideWhenUsed/>
    <w:rsid w:val="00420677"/>
    <w:rPr>
      <w:vertAlign w:val="superscript"/>
    </w:rPr>
  </w:style>
  <w:style w:type="paragraph" w:styleId="TOCHeading">
    <w:name w:val="TOC Heading"/>
    <w:basedOn w:val="Heading1"/>
    <w:next w:val="Normal"/>
    <w:uiPriority w:val="39"/>
    <w:unhideWhenUsed/>
    <w:qFormat/>
    <w:rsid w:val="0019034F"/>
    <w:pPr>
      <w:outlineLvl w:val="9"/>
    </w:pPr>
    <w:rPr>
      <w:rFonts w:asciiTheme="majorHAnsi" w:eastAsiaTheme="majorEastAsia" w:hAnsiTheme="majorHAnsi" w:cstheme="majorBidi"/>
      <w:b w:val="0"/>
      <w:color w:val="2F5496" w:themeColor="accent1" w:themeShade="BF"/>
      <w:sz w:val="32"/>
      <w:szCs w:val="32"/>
      <w14:textOutline w14:w="0" w14:cap="rnd" w14:cmpd="sng" w14:algn="ctr">
        <w14:noFill/>
        <w14:prstDash w14:val="solid"/>
        <w14:bevel/>
      </w14:textOutline>
      <w14:props3d w14:extrusionH="0" w14:contourW="0" w14:prstMaterial="none"/>
    </w:rPr>
  </w:style>
  <w:style w:type="paragraph" w:styleId="TOC1">
    <w:name w:val="toc 1"/>
    <w:basedOn w:val="Normal"/>
    <w:next w:val="Normal"/>
    <w:autoRedefine/>
    <w:uiPriority w:val="39"/>
    <w:unhideWhenUsed/>
    <w:rsid w:val="004F759C"/>
    <w:pPr>
      <w:tabs>
        <w:tab w:val="left" w:pos="440"/>
        <w:tab w:val="right" w:leader="dot" w:pos="10456"/>
      </w:tabs>
      <w:spacing w:after="100"/>
    </w:pPr>
  </w:style>
  <w:style w:type="paragraph" w:styleId="TOC2">
    <w:name w:val="toc 2"/>
    <w:basedOn w:val="Normal"/>
    <w:next w:val="Normal"/>
    <w:autoRedefine/>
    <w:uiPriority w:val="39"/>
    <w:unhideWhenUsed/>
    <w:rsid w:val="0019034F"/>
    <w:pPr>
      <w:spacing w:after="100"/>
      <w:ind w:left="220"/>
    </w:pPr>
  </w:style>
  <w:style w:type="paragraph" w:styleId="TOC3">
    <w:name w:val="toc 3"/>
    <w:basedOn w:val="Normal"/>
    <w:next w:val="Normal"/>
    <w:autoRedefine/>
    <w:uiPriority w:val="39"/>
    <w:unhideWhenUsed/>
    <w:rsid w:val="0019034F"/>
    <w:pPr>
      <w:spacing w:after="100"/>
      <w:ind w:left="440"/>
    </w:pPr>
  </w:style>
  <w:style w:type="character" w:styleId="Hyperlink">
    <w:name w:val="Hyperlink"/>
    <w:basedOn w:val="DefaultParagraphFont"/>
    <w:uiPriority w:val="99"/>
    <w:unhideWhenUsed/>
    <w:rsid w:val="0019034F"/>
    <w:rPr>
      <w:color w:val="0563C1" w:themeColor="hyperlink"/>
      <w:u w:val="single"/>
    </w:rPr>
  </w:style>
  <w:style w:type="character" w:styleId="PlaceholderText">
    <w:name w:val="Placeholder Text"/>
    <w:basedOn w:val="DefaultParagraphFont"/>
    <w:uiPriority w:val="99"/>
    <w:semiHidden/>
    <w:rsid w:val="008B5C37"/>
    <w:rPr>
      <w:color w:val="808080"/>
    </w:rPr>
  </w:style>
  <w:style w:type="character" w:customStyle="1" w:styleId="UnresolvedMention">
    <w:name w:val="Unresolved Mention"/>
    <w:basedOn w:val="DefaultParagraphFont"/>
    <w:uiPriority w:val="99"/>
    <w:semiHidden/>
    <w:unhideWhenUsed/>
    <w:rsid w:val="003B14BE"/>
    <w:rPr>
      <w:color w:val="808080"/>
      <w:shd w:val="clear" w:color="auto" w:fill="E6E6E6"/>
    </w:rPr>
  </w:style>
  <w:style w:type="paragraph" w:styleId="Revision">
    <w:name w:val="Revision"/>
    <w:hidden/>
    <w:uiPriority w:val="99"/>
    <w:semiHidden/>
    <w:rsid w:val="00D318F5"/>
    <w:pPr>
      <w:spacing w:after="0" w:line="240" w:lineRule="auto"/>
    </w:pPr>
  </w:style>
  <w:style w:type="paragraph" w:customStyle="1" w:styleId="BodyTextAfterTableGraphic">
    <w:name w:val="Body Text After Table/Graphic"/>
    <w:basedOn w:val="Normal"/>
    <w:rsid w:val="00AD1F18"/>
    <w:pPr>
      <w:tabs>
        <w:tab w:val="left" w:pos="360"/>
        <w:tab w:val="left" w:pos="720"/>
        <w:tab w:val="left" w:pos="1080"/>
        <w:tab w:val="left" w:pos="1440"/>
        <w:tab w:val="left" w:pos="1800"/>
      </w:tabs>
      <w:spacing w:before="270" w:after="135" w:line="300" w:lineRule="auto"/>
    </w:pPr>
    <w:rPr>
      <w:rFonts w:ascii="Arial" w:eastAsia="Times New Roman" w:hAnsi="Arial" w:cs="Times New Roman"/>
      <w:sz w:val="18"/>
      <w:szCs w:val="18"/>
    </w:rPr>
  </w:style>
  <w:style w:type="character" w:customStyle="1" w:styleId="Heading5Char">
    <w:name w:val="Heading 5 Char"/>
    <w:basedOn w:val="DefaultParagraphFont"/>
    <w:link w:val="Heading5"/>
    <w:uiPriority w:val="9"/>
    <w:semiHidden/>
    <w:rsid w:val="00F87DB1"/>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F87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DB1"/>
  </w:style>
  <w:style w:type="paragraph" w:customStyle="1" w:styleId="Table">
    <w:name w:val="Table"/>
    <w:basedOn w:val="Normal"/>
    <w:link w:val="TableChar"/>
    <w:qFormat/>
    <w:rsid w:val="00F87DB1"/>
    <w:pPr>
      <w:spacing w:before="40" w:after="40" w:line="240" w:lineRule="auto"/>
    </w:pPr>
    <w:rPr>
      <w:rFonts w:ascii="Trebuchet MS" w:eastAsia="Times New Roman" w:hAnsi="Trebuchet MS" w:cs="Times New Roman"/>
      <w:lang w:eastAsia="en-GB"/>
    </w:rPr>
  </w:style>
  <w:style w:type="table" w:customStyle="1" w:styleId="GridTable4-Accent11">
    <w:name w:val="Grid Table 4 - Accent 11"/>
    <w:basedOn w:val="TableNormal"/>
    <w:uiPriority w:val="49"/>
    <w:rsid w:val="00F87DB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bulletswithspacing">
    <w:name w:val="bullets with spacing"/>
    <w:basedOn w:val="ListParagraph"/>
    <w:qFormat/>
    <w:rsid w:val="00F87DB1"/>
    <w:pPr>
      <w:numPr>
        <w:numId w:val="2"/>
      </w:numPr>
      <w:spacing w:before="200" w:after="0"/>
      <w:ind w:left="357" w:hanging="357"/>
      <w:contextualSpacing w:val="0"/>
    </w:pPr>
  </w:style>
  <w:style w:type="character" w:customStyle="1" w:styleId="bulletsnospaceChar">
    <w:name w:val="bullets no space Char"/>
    <w:basedOn w:val="DefaultParagraphFont"/>
    <w:link w:val="bulletsnospace"/>
    <w:locked/>
    <w:rsid w:val="00F87DB1"/>
    <w:rPr>
      <w:rFonts w:eastAsiaTheme="minorEastAsia" w:cs="Times New Roman"/>
      <w:lang w:eastAsia="en-GB"/>
    </w:rPr>
  </w:style>
  <w:style w:type="paragraph" w:customStyle="1" w:styleId="bulletsnospace">
    <w:name w:val="bullets no space"/>
    <w:basedOn w:val="bulletswithspacing"/>
    <w:link w:val="bulletsnospaceChar"/>
    <w:qFormat/>
    <w:rsid w:val="00F87DB1"/>
    <w:pPr>
      <w:spacing w:before="0"/>
      <w:contextualSpacing/>
    </w:pPr>
    <w:rPr>
      <w:rFonts w:cs="Times New Roman"/>
    </w:rPr>
  </w:style>
  <w:style w:type="character" w:customStyle="1" w:styleId="TableChar">
    <w:name w:val="Table Char"/>
    <w:basedOn w:val="DefaultParagraphFont"/>
    <w:link w:val="Table"/>
    <w:locked/>
    <w:rsid w:val="00F87DB1"/>
    <w:rPr>
      <w:rFonts w:ascii="Trebuchet MS" w:eastAsia="Times New Roman" w:hAnsi="Trebuchet MS" w:cs="Times New Roman"/>
      <w:lang w:eastAsia="en-GB"/>
    </w:rPr>
  </w:style>
  <w:style w:type="paragraph" w:customStyle="1" w:styleId="Normalaftertable">
    <w:name w:val="Normal after table"/>
    <w:basedOn w:val="Normal"/>
    <w:link w:val="NormalaftertableChar"/>
    <w:qFormat/>
    <w:rsid w:val="00F87DB1"/>
    <w:pPr>
      <w:spacing w:before="200" w:after="200" w:line="276" w:lineRule="auto"/>
    </w:pPr>
    <w:rPr>
      <w:rFonts w:eastAsiaTheme="minorEastAsia"/>
      <w:lang w:eastAsia="en-GB"/>
    </w:rPr>
  </w:style>
  <w:style w:type="character" w:customStyle="1" w:styleId="NormalaftertableChar">
    <w:name w:val="Normal after table Char"/>
    <w:basedOn w:val="DefaultParagraphFont"/>
    <w:link w:val="Normalaftertable"/>
    <w:rsid w:val="00F87DB1"/>
    <w:rPr>
      <w:rFonts w:eastAsiaTheme="minorEastAsia"/>
      <w:lang w:eastAsia="en-GB"/>
    </w:rPr>
  </w:style>
  <w:style w:type="paragraph" w:customStyle="1" w:styleId="Normalbeforenon-spacebullet">
    <w:name w:val="Normal before non-space bullet"/>
    <w:basedOn w:val="Normal"/>
    <w:link w:val="Normalbeforenon-spacebulletChar"/>
    <w:qFormat/>
    <w:rsid w:val="00F87DB1"/>
    <w:pPr>
      <w:spacing w:after="0" w:line="276" w:lineRule="auto"/>
    </w:pPr>
  </w:style>
  <w:style w:type="paragraph" w:customStyle="1" w:styleId="bullets2nospace">
    <w:name w:val="bullets 2 no space"/>
    <w:basedOn w:val="bulletsnospace"/>
    <w:link w:val="bullets2nospaceChar"/>
    <w:qFormat/>
    <w:rsid w:val="00F87DB1"/>
    <w:pPr>
      <w:numPr>
        <w:ilvl w:val="1"/>
        <w:numId w:val="3"/>
      </w:numPr>
      <w:ind w:left="714" w:hanging="357"/>
    </w:pPr>
    <w:rPr>
      <w:rFonts w:cstheme="minorBidi"/>
    </w:rPr>
  </w:style>
  <w:style w:type="character" w:customStyle="1" w:styleId="Normalbeforenon-spacebulletChar">
    <w:name w:val="Normal before non-space bullet Char"/>
    <w:basedOn w:val="DefaultParagraphFont"/>
    <w:link w:val="Normalbeforenon-spacebullet"/>
    <w:rsid w:val="00F87DB1"/>
  </w:style>
  <w:style w:type="character" w:customStyle="1" w:styleId="bullets2nospaceChar">
    <w:name w:val="bullets 2 no space Char"/>
    <w:basedOn w:val="DefaultParagraphFont"/>
    <w:link w:val="bullets2nospace"/>
    <w:rsid w:val="00F87DB1"/>
    <w:rPr>
      <w:rFonts w:eastAsiaTheme="minorEastAsia"/>
      <w:lang w:eastAsia="en-GB"/>
    </w:rPr>
  </w:style>
  <w:style w:type="paragraph" w:customStyle="1" w:styleId="Normalbefore">
    <w:name w:val="Normal before"/>
    <w:basedOn w:val="Normal"/>
    <w:link w:val="NormalbeforeChar"/>
    <w:qFormat/>
    <w:rsid w:val="00F87DB1"/>
    <w:pPr>
      <w:spacing w:before="200" w:after="200" w:line="276" w:lineRule="auto"/>
    </w:pPr>
    <w:rPr>
      <w:rFonts w:eastAsiaTheme="minorEastAsia"/>
      <w:lang w:eastAsia="en-GB"/>
    </w:rPr>
  </w:style>
  <w:style w:type="paragraph" w:customStyle="1" w:styleId="tablecentral">
    <w:name w:val="table central"/>
    <w:basedOn w:val="Table"/>
    <w:link w:val="tablecentralChar"/>
    <w:qFormat/>
    <w:rsid w:val="00F87DB1"/>
    <w:pPr>
      <w:spacing w:line="276" w:lineRule="auto"/>
      <w:jc w:val="center"/>
    </w:pPr>
  </w:style>
  <w:style w:type="character" w:customStyle="1" w:styleId="NormalbeforeChar">
    <w:name w:val="Normal before Char"/>
    <w:basedOn w:val="DefaultParagraphFont"/>
    <w:link w:val="Normalbefore"/>
    <w:rsid w:val="00F87DB1"/>
    <w:rPr>
      <w:rFonts w:eastAsiaTheme="minorEastAsia"/>
      <w:lang w:eastAsia="en-GB"/>
    </w:rPr>
  </w:style>
  <w:style w:type="character" w:customStyle="1" w:styleId="tablecentralChar">
    <w:name w:val="table central Char"/>
    <w:basedOn w:val="TableChar"/>
    <w:link w:val="tablecentral"/>
    <w:rsid w:val="00F87DB1"/>
    <w:rPr>
      <w:rFonts w:ascii="Trebuchet MS" w:eastAsia="Times New Roman" w:hAnsi="Trebuchet MS" w:cs="Times New Roman"/>
      <w:lang w:eastAsia="en-GB"/>
    </w:rPr>
  </w:style>
  <w:style w:type="paragraph" w:customStyle="1" w:styleId="Appendix1">
    <w:name w:val="Appendix 1"/>
    <w:basedOn w:val="Heading1"/>
    <w:next w:val="Normal"/>
    <w:link w:val="Appendix1Char"/>
    <w:qFormat/>
    <w:rsid w:val="00F87DB1"/>
    <w:pPr>
      <w:pageBreakBefore/>
      <w:numPr>
        <w:numId w:val="4"/>
      </w:numPr>
      <w:spacing w:before="480" w:line="276" w:lineRule="auto"/>
    </w:pPr>
    <w:rPr>
      <w:rFonts w:asciiTheme="majorHAnsi" w:eastAsiaTheme="majorEastAsia" w:hAnsiTheme="majorHAnsi" w:cstheme="majorBidi"/>
      <w:bCs/>
      <w:color w:val="2F5496" w:themeColor="accent1" w:themeShade="BF"/>
      <w:spacing w:val="-13"/>
      <w:sz w:val="28"/>
      <w:szCs w:val="28"/>
      <w:lang w:eastAsia="en-GB"/>
    </w:rPr>
  </w:style>
  <w:style w:type="character" w:customStyle="1" w:styleId="Appendix1Char">
    <w:name w:val="Appendix 1 Char"/>
    <w:basedOn w:val="Heading1Char"/>
    <w:link w:val="Appendix1"/>
    <w:rsid w:val="00F87DB1"/>
    <w:rPr>
      <w:rFonts w:asciiTheme="majorHAnsi" w:eastAsiaTheme="majorEastAsia" w:hAnsiTheme="majorHAnsi" w:cstheme="majorBidi"/>
      <w:b/>
      <w:bCs/>
      <w:color w:val="2F5496" w:themeColor="accent1" w:themeShade="BF"/>
      <w:spacing w:val="-13"/>
      <w:sz w:val="28"/>
      <w:szCs w:val="28"/>
      <w:lang w:val="en-US" w:eastAsia="en-GB"/>
      <w14:textOutline w14:w="0" w14:cap="flat" w14:cmpd="sng" w14:algn="ctr">
        <w14:noFill/>
        <w14:prstDash w14:val="solid"/>
        <w14:round/>
      </w14:textOutline>
      <w14:props3d w14:extrusionH="57150" w14:contourW="0" w14:prstMaterial="softEdge">
        <w14:bevelT w14:w="38100" w14:h="38100" w14:prst="angle"/>
      </w14:props3d>
    </w:rPr>
  </w:style>
  <w:style w:type="paragraph" w:customStyle="1" w:styleId="Appendix2">
    <w:name w:val="Appendix 2"/>
    <w:basedOn w:val="Heading2"/>
    <w:next w:val="Normal"/>
    <w:link w:val="Appendix2Char"/>
    <w:qFormat/>
    <w:rsid w:val="00F87DB1"/>
    <w:pPr>
      <w:numPr>
        <w:ilvl w:val="1"/>
        <w:numId w:val="4"/>
      </w:numPr>
      <w:spacing w:before="200" w:line="276" w:lineRule="auto"/>
    </w:pPr>
    <w:rPr>
      <w:rFonts w:asciiTheme="majorHAnsi" w:hAnsiTheme="majorHAnsi"/>
      <w:bCs/>
      <w:color w:val="4472C4" w:themeColor="accent1"/>
      <w:lang w:eastAsia="en-GB"/>
    </w:rPr>
  </w:style>
  <w:style w:type="character" w:customStyle="1" w:styleId="Appendix2Char">
    <w:name w:val="Appendix 2 Char"/>
    <w:basedOn w:val="Heading2Char"/>
    <w:link w:val="Appendix2"/>
    <w:rsid w:val="00F87DB1"/>
    <w:rPr>
      <w:rFonts w:asciiTheme="majorHAnsi" w:eastAsiaTheme="majorEastAsia" w:hAnsiTheme="majorHAnsi" w:cstheme="majorBidi"/>
      <w:b/>
      <w:bCs/>
      <w:color w:val="4472C4" w:themeColor="accent1"/>
      <w:sz w:val="26"/>
      <w:szCs w:val="26"/>
      <w:lang w:eastAsia="en-GB"/>
    </w:rPr>
  </w:style>
  <w:style w:type="paragraph" w:customStyle="1" w:styleId="Appendix3">
    <w:name w:val="Appendix 3"/>
    <w:basedOn w:val="Appendix2"/>
    <w:qFormat/>
    <w:rsid w:val="00F87DB1"/>
    <w:pPr>
      <w:numPr>
        <w:ilvl w:val="2"/>
      </w:numPr>
      <w:tabs>
        <w:tab w:val="clear" w:pos="720"/>
      </w:tabs>
      <w:ind w:left="2160" w:hanging="180"/>
    </w:pPr>
  </w:style>
  <w:style w:type="character" w:customStyle="1" w:styleId="ListParagraphChar">
    <w:name w:val="List Paragraph Char"/>
    <w:basedOn w:val="DefaultParagraphFont"/>
    <w:link w:val="ListParagraph"/>
    <w:uiPriority w:val="34"/>
    <w:rsid w:val="00F87DB1"/>
    <w:rPr>
      <w:rFonts w:eastAsiaTheme="minorEastAsia"/>
      <w:lang w:eastAsia="en-GB"/>
    </w:rPr>
  </w:style>
  <w:style w:type="table" w:styleId="TableGrid">
    <w:name w:val="Table Grid"/>
    <w:basedOn w:val="TableNormal"/>
    <w:uiPriority w:val="59"/>
    <w:rsid w:val="00FF6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aliases w:val="l1,Bullet1,BU Bullet Paragraph,BU,BU bullet,bullet Char,Bullet Char,BU Bullet Paragraph Char,BU Char,BU Bullet Paragraph1,BU1,bullet1,BU bullet1,bullet Char1,Bullet Char1,BU Bullet Paragraph Char1,BU Char Char Char1 Char,bullet,B"/>
    <w:basedOn w:val="Normal"/>
    <w:uiPriority w:val="99"/>
    <w:qFormat/>
    <w:rsid w:val="0091090E"/>
    <w:pPr>
      <w:numPr>
        <w:numId w:val="6"/>
      </w:numPr>
      <w:adjustRightInd w:val="0"/>
      <w:spacing w:after="240" w:line="240" w:lineRule="auto"/>
      <w:jc w:val="both"/>
      <w:outlineLvl w:val="0"/>
    </w:pPr>
    <w:rPr>
      <w:rFonts w:ascii="Arial" w:eastAsia="Arial" w:hAnsi="Arial" w:cs="Arial"/>
      <w:sz w:val="20"/>
      <w:szCs w:val="20"/>
      <w:lang w:eastAsia="en-GB"/>
    </w:rPr>
  </w:style>
  <w:style w:type="paragraph" w:customStyle="1" w:styleId="Level2">
    <w:name w:val="Level 2"/>
    <w:aliases w:val="l2"/>
    <w:basedOn w:val="Normal"/>
    <w:link w:val="Level2Char"/>
    <w:uiPriority w:val="99"/>
    <w:qFormat/>
    <w:rsid w:val="0091090E"/>
    <w:pPr>
      <w:numPr>
        <w:ilvl w:val="1"/>
        <w:numId w:val="6"/>
      </w:numPr>
      <w:adjustRightInd w:val="0"/>
      <w:spacing w:after="240" w:line="240" w:lineRule="auto"/>
      <w:jc w:val="both"/>
      <w:outlineLvl w:val="1"/>
    </w:pPr>
    <w:rPr>
      <w:rFonts w:ascii="Arial" w:eastAsia="Arial" w:hAnsi="Arial" w:cs="Arial"/>
      <w:szCs w:val="20"/>
      <w:lang w:eastAsia="en-GB"/>
    </w:rPr>
  </w:style>
  <w:style w:type="paragraph" w:customStyle="1" w:styleId="Level3">
    <w:name w:val="Level 3"/>
    <w:aliases w:val="l3"/>
    <w:basedOn w:val="Normal"/>
    <w:uiPriority w:val="99"/>
    <w:qFormat/>
    <w:rsid w:val="0091090E"/>
    <w:pPr>
      <w:numPr>
        <w:ilvl w:val="2"/>
        <w:numId w:val="6"/>
      </w:numPr>
      <w:adjustRightInd w:val="0"/>
      <w:spacing w:after="240" w:line="240" w:lineRule="auto"/>
      <w:jc w:val="both"/>
      <w:outlineLvl w:val="2"/>
    </w:pPr>
    <w:rPr>
      <w:rFonts w:ascii="Arial" w:eastAsia="Arial" w:hAnsi="Arial" w:cs="Arial"/>
      <w:szCs w:val="20"/>
      <w:lang w:eastAsia="en-GB"/>
    </w:rPr>
  </w:style>
  <w:style w:type="paragraph" w:customStyle="1" w:styleId="Level4">
    <w:name w:val="Level 4"/>
    <w:aliases w:val="4"/>
    <w:basedOn w:val="Normal"/>
    <w:uiPriority w:val="99"/>
    <w:qFormat/>
    <w:rsid w:val="0091090E"/>
    <w:pPr>
      <w:numPr>
        <w:ilvl w:val="3"/>
        <w:numId w:val="6"/>
      </w:numPr>
      <w:adjustRightInd w:val="0"/>
      <w:spacing w:after="240" w:line="240" w:lineRule="auto"/>
      <w:jc w:val="both"/>
      <w:outlineLvl w:val="3"/>
    </w:pPr>
    <w:rPr>
      <w:rFonts w:ascii="Arial" w:eastAsia="Arial" w:hAnsi="Arial" w:cs="Arial"/>
      <w:sz w:val="20"/>
      <w:szCs w:val="20"/>
      <w:lang w:eastAsia="en-GB"/>
    </w:rPr>
  </w:style>
  <w:style w:type="paragraph" w:customStyle="1" w:styleId="Level5">
    <w:name w:val="Level 5"/>
    <w:aliases w:val="l5"/>
    <w:basedOn w:val="Normal"/>
    <w:uiPriority w:val="99"/>
    <w:qFormat/>
    <w:rsid w:val="0091090E"/>
    <w:pPr>
      <w:numPr>
        <w:ilvl w:val="4"/>
        <w:numId w:val="6"/>
      </w:numPr>
      <w:adjustRightInd w:val="0"/>
      <w:spacing w:after="240" w:line="240" w:lineRule="auto"/>
      <w:jc w:val="both"/>
      <w:outlineLvl w:val="4"/>
    </w:pPr>
    <w:rPr>
      <w:rFonts w:ascii="Arial" w:eastAsia="Arial" w:hAnsi="Arial" w:cs="Arial"/>
      <w:sz w:val="20"/>
      <w:szCs w:val="20"/>
      <w:lang w:eastAsia="en-GB"/>
    </w:rPr>
  </w:style>
  <w:style w:type="paragraph" w:customStyle="1" w:styleId="Level6">
    <w:name w:val="Level 6"/>
    <w:basedOn w:val="Normal"/>
    <w:uiPriority w:val="99"/>
    <w:qFormat/>
    <w:rsid w:val="0091090E"/>
    <w:pPr>
      <w:numPr>
        <w:ilvl w:val="5"/>
        <w:numId w:val="6"/>
      </w:numPr>
      <w:adjustRightInd w:val="0"/>
      <w:spacing w:after="240" w:line="240" w:lineRule="auto"/>
      <w:jc w:val="both"/>
      <w:outlineLvl w:val="5"/>
    </w:pPr>
    <w:rPr>
      <w:rFonts w:ascii="Arial" w:eastAsia="Arial" w:hAnsi="Arial" w:cs="Arial"/>
      <w:sz w:val="20"/>
      <w:szCs w:val="20"/>
      <w:lang w:eastAsia="en-GB"/>
    </w:rPr>
  </w:style>
  <w:style w:type="character" w:customStyle="1" w:styleId="Level2Char">
    <w:name w:val="Level 2 Char"/>
    <w:link w:val="Level2"/>
    <w:uiPriority w:val="99"/>
    <w:locked/>
    <w:rsid w:val="0091090E"/>
    <w:rPr>
      <w:rFonts w:ascii="Arial" w:eastAsia="Arial" w:hAnsi="Arial" w:cs="Arial"/>
      <w:szCs w:val="20"/>
      <w:lang w:eastAsia="en-GB"/>
    </w:rPr>
  </w:style>
  <w:style w:type="paragraph" w:styleId="Header">
    <w:name w:val="header"/>
    <w:basedOn w:val="Normal"/>
    <w:link w:val="HeaderChar"/>
    <w:uiPriority w:val="99"/>
    <w:unhideWhenUsed/>
    <w:rsid w:val="00AF33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3B0"/>
  </w:style>
  <w:style w:type="table" w:customStyle="1" w:styleId="GridTable1Light-Accent51">
    <w:name w:val="Grid Table 1 Light - Accent 51"/>
    <w:basedOn w:val="TableNormal"/>
    <w:uiPriority w:val="46"/>
    <w:rsid w:val="005D050D"/>
    <w:pPr>
      <w:spacing w:after="0" w:line="240" w:lineRule="auto"/>
    </w:pPr>
    <w:tblPr>
      <w:tblStyleRowBandSize w:val="1"/>
      <w:tblStyleColBandSize w:val="1"/>
      <w:tblInd w:w="0" w:type="nil"/>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271">
      <w:bodyDiv w:val="1"/>
      <w:marLeft w:val="0"/>
      <w:marRight w:val="0"/>
      <w:marTop w:val="0"/>
      <w:marBottom w:val="0"/>
      <w:divBdr>
        <w:top w:val="none" w:sz="0" w:space="0" w:color="auto"/>
        <w:left w:val="none" w:sz="0" w:space="0" w:color="auto"/>
        <w:bottom w:val="none" w:sz="0" w:space="0" w:color="auto"/>
        <w:right w:val="none" w:sz="0" w:space="0" w:color="auto"/>
      </w:divBdr>
    </w:div>
    <w:div w:id="6103103">
      <w:bodyDiv w:val="1"/>
      <w:marLeft w:val="0"/>
      <w:marRight w:val="0"/>
      <w:marTop w:val="0"/>
      <w:marBottom w:val="0"/>
      <w:divBdr>
        <w:top w:val="none" w:sz="0" w:space="0" w:color="auto"/>
        <w:left w:val="none" w:sz="0" w:space="0" w:color="auto"/>
        <w:bottom w:val="none" w:sz="0" w:space="0" w:color="auto"/>
        <w:right w:val="none" w:sz="0" w:space="0" w:color="auto"/>
      </w:divBdr>
    </w:div>
    <w:div w:id="17701277">
      <w:bodyDiv w:val="1"/>
      <w:marLeft w:val="0"/>
      <w:marRight w:val="0"/>
      <w:marTop w:val="0"/>
      <w:marBottom w:val="0"/>
      <w:divBdr>
        <w:top w:val="none" w:sz="0" w:space="0" w:color="auto"/>
        <w:left w:val="none" w:sz="0" w:space="0" w:color="auto"/>
        <w:bottom w:val="none" w:sz="0" w:space="0" w:color="auto"/>
        <w:right w:val="none" w:sz="0" w:space="0" w:color="auto"/>
      </w:divBdr>
    </w:div>
    <w:div w:id="55907641">
      <w:bodyDiv w:val="1"/>
      <w:marLeft w:val="0"/>
      <w:marRight w:val="0"/>
      <w:marTop w:val="0"/>
      <w:marBottom w:val="0"/>
      <w:divBdr>
        <w:top w:val="none" w:sz="0" w:space="0" w:color="auto"/>
        <w:left w:val="none" w:sz="0" w:space="0" w:color="auto"/>
        <w:bottom w:val="none" w:sz="0" w:space="0" w:color="auto"/>
        <w:right w:val="none" w:sz="0" w:space="0" w:color="auto"/>
      </w:divBdr>
    </w:div>
    <w:div w:id="57678378">
      <w:bodyDiv w:val="1"/>
      <w:marLeft w:val="0"/>
      <w:marRight w:val="0"/>
      <w:marTop w:val="0"/>
      <w:marBottom w:val="0"/>
      <w:divBdr>
        <w:top w:val="none" w:sz="0" w:space="0" w:color="auto"/>
        <w:left w:val="none" w:sz="0" w:space="0" w:color="auto"/>
        <w:bottom w:val="none" w:sz="0" w:space="0" w:color="auto"/>
        <w:right w:val="none" w:sz="0" w:space="0" w:color="auto"/>
      </w:divBdr>
    </w:div>
    <w:div w:id="74205955">
      <w:bodyDiv w:val="1"/>
      <w:marLeft w:val="0"/>
      <w:marRight w:val="0"/>
      <w:marTop w:val="0"/>
      <w:marBottom w:val="0"/>
      <w:divBdr>
        <w:top w:val="none" w:sz="0" w:space="0" w:color="auto"/>
        <w:left w:val="none" w:sz="0" w:space="0" w:color="auto"/>
        <w:bottom w:val="none" w:sz="0" w:space="0" w:color="auto"/>
        <w:right w:val="none" w:sz="0" w:space="0" w:color="auto"/>
      </w:divBdr>
    </w:div>
    <w:div w:id="77143715">
      <w:bodyDiv w:val="1"/>
      <w:marLeft w:val="0"/>
      <w:marRight w:val="0"/>
      <w:marTop w:val="0"/>
      <w:marBottom w:val="0"/>
      <w:divBdr>
        <w:top w:val="none" w:sz="0" w:space="0" w:color="auto"/>
        <w:left w:val="none" w:sz="0" w:space="0" w:color="auto"/>
        <w:bottom w:val="none" w:sz="0" w:space="0" w:color="auto"/>
        <w:right w:val="none" w:sz="0" w:space="0" w:color="auto"/>
      </w:divBdr>
    </w:div>
    <w:div w:id="82462567">
      <w:bodyDiv w:val="1"/>
      <w:marLeft w:val="0"/>
      <w:marRight w:val="0"/>
      <w:marTop w:val="0"/>
      <w:marBottom w:val="0"/>
      <w:divBdr>
        <w:top w:val="none" w:sz="0" w:space="0" w:color="auto"/>
        <w:left w:val="none" w:sz="0" w:space="0" w:color="auto"/>
        <w:bottom w:val="none" w:sz="0" w:space="0" w:color="auto"/>
        <w:right w:val="none" w:sz="0" w:space="0" w:color="auto"/>
      </w:divBdr>
    </w:div>
    <w:div w:id="91750497">
      <w:bodyDiv w:val="1"/>
      <w:marLeft w:val="0"/>
      <w:marRight w:val="0"/>
      <w:marTop w:val="0"/>
      <w:marBottom w:val="0"/>
      <w:divBdr>
        <w:top w:val="none" w:sz="0" w:space="0" w:color="auto"/>
        <w:left w:val="none" w:sz="0" w:space="0" w:color="auto"/>
        <w:bottom w:val="none" w:sz="0" w:space="0" w:color="auto"/>
        <w:right w:val="none" w:sz="0" w:space="0" w:color="auto"/>
      </w:divBdr>
    </w:div>
    <w:div w:id="158622451">
      <w:bodyDiv w:val="1"/>
      <w:marLeft w:val="0"/>
      <w:marRight w:val="0"/>
      <w:marTop w:val="0"/>
      <w:marBottom w:val="0"/>
      <w:divBdr>
        <w:top w:val="none" w:sz="0" w:space="0" w:color="auto"/>
        <w:left w:val="none" w:sz="0" w:space="0" w:color="auto"/>
        <w:bottom w:val="none" w:sz="0" w:space="0" w:color="auto"/>
        <w:right w:val="none" w:sz="0" w:space="0" w:color="auto"/>
      </w:divBdr>
    </w:div>
    <w:div w:id="166601093">
      <w:bodyDiv w:val="1"/>
      <w:marLeft w:val="0"/>
      <w:marRight w:val="0"/>
      <w:marTop w:val="0"/>
      <w:marBottom w:val="0"/>
      <w:divBdr>
        <w:top w:val="none" w:sz="0" w:space="0" w:color="auto"/>
        <w:left w:val="none" w:sz="0" w:space="0" w:color="auto"/>
        <w:bottom w:val="none" w:sz="0" w:space="0" w:color="auto"/>
        <w:right w:val="none" w:sz="0" w:space="0" w:color="auto"/>
      </w:divBdr>
    </w:div>
    <w:div w:id="211962878">
      <w:bodyDiv w:val="1"/>
      <w:marLeft w:val="0"/>
      <w:marRight w:val="0"/>
      <w:marTop w:val="0"/>
      <w:marBottom w:val="0"/>
      <w:divBdr>
        <w:top w:val="none" w:sz="0" w:space="0" w:color="auto"/>
        <w:left w:val="none" w:sz="0" w:space="0" w:color="auto"/>
        <w:bottom w:val="none" w:sz="0" w:space="0" w:color="auto"/>
        <w:right w:val="none" w:sz="0" w:space="0" w:color="auto"/>
      </w:divBdr>
    </w:div>
    <w:div w:id="220870501">
      <w:bodyDiv w:val="1"/>
      <w:marLeft w:val="0"/>
      <w:marRight w:val="0"/>
      <w:marTop w:val="0"/>
      <w:marBottom w:val="0"/>
      <w:divBdr>
        <w:top w:val="none" w:sz="0" w:space="0" w:color="auto"/>
        <w:left w:val="none" w:sz="0" w:space="0" w:color="auto"/>
        <w:bottom w:val="none" w:sz="0" w:space="0" w:color="auto"/>
        <w:right w:val="none" w:sz="0" w:space="0" w:color="auto"/>
      </w:divBdr>
    </w:div>
    <w:div w:id="270866007">
      <w:bodyDiv w:val="1"/>
      <w:marLeft w:val="0"/>
      <w:marRight w:val="0"/>
      <w:marTop w:val="0"/>
      <w:marBottom w:val="0"/>
      <w:divBdr>
        <w:top w:val="none" w:sz="0" w:space="0" w:color="auto"/>
        <w:left w:val="none" w:sz="0" w:space="0" w:color="auto"/>
        <w:bottom w:val="none" w:sz="0" w:space="0" w:color="auto"/>
        <w:right w:val="none" w:sz="0" w:space="0" w:color="auto"/>
      </w:divBdr>
      <w:divsChild>
        <w:div w:id="1572347128">
          <w:marLeft w:val="274"/>
          <w:marRight w:val="0"/>
          <w:marTop w:val="0"/>
          <w:marBottom w:val="43"/>
          <w:divBdr>
            <w:top w:val="none" w:sz="0" w:space="0" w:color="auto"/>
            <w:left w:val="none" w:sz="0" w:space="0" w:color="auto"/>
            <w:bottom w:val="none" w:sz="0" w:space="0" w:color="auto"/>
            <w:right w:val="none" w:sz="0" w:space="0" w:color="auto"/>
          </w:divBdr>
        </w:div>
        <w:div w:id="546258440">
          <w:marLeft w:val="274"/>
          <w:marRight w:val="0"/>
          <w:marTop w:val="0"/>
          <w:marBottom w:val="43"/>
          <w:divBdr>
            <w:top w:val="none" w:sz="0" w:space="0" w:color="auto"/>
            <w:left w:val="none" w:sz="0" w:space="0" w:color="auto"/>
            <w:bottom w:val="none" w:sz="0" w:space="0" w:color="auto"/>
            <w:right w:val="none" w:sz="0" w:space="0" w:color="auto"/>
          </w:divBdr>
        </w:div>
        <w:div w:id="549265541">
          <w:marLeft w:val="274"/>
          <w:marRight w:val="0"/>
          <w:marTop w:val="0"/>
          <w:marBottom w:val="43"/>
          <w:divBdr>
            <w:top w:val="none" w:sz="0" w:space="0" w:color="auto"/>
            <w:left w:val="none" w:sz="0" w:space="0" w:color="auto"/>
            <w:bottom w:val="none" w:sz="0" w:space="0" w:color="auto"/>
            <w:right w:val="none" w:sz="0" w:space="0" w:color="auto"/>
          </w:divBdr>
        </w:div>
      </w:divsChild>
    </w:div>
    <w:div w:id="282076381">
      <w:bodyDiv w:val="1"/>
      <w:marLeft w:val="0"/>
      <w:marRight w:val="0"/>
      <w:marTop w:val="0"/>
      <w:marBottom w:val="0"/>
      <w:divBdr>
        <w:top w:val="none" w:sz="0" w:space="0" w:color="auto"/>
        <w:left w:val="none" w:sz="0" w:space="0" w:color="auto"/>
        <w:bottom w:val="none" w:sz="0" w:space="0" w:color="auto"/>
        <w:right w:val="none" w:sz="0" w:space="0" w:color="auto"/>
      </w:divBdr>
    </w:div>
    <w:div w:id="289173071">
      <w:bodyDiv w:val="1"/>
      <w:marLeft w:val="0"/>
      <w:marRight w:val="0"/>
      <w:marTop w:val="0"/>
      <w:marBottom w:val="0"/>
      <w:divBdr>
        <w:top w:val="none" w:sz="0" w:space="0" w:color="auto"/>
        <w:left w:val="none" w:sz="0" w:space="0" w:color="auto"/>
        <w:bottom w:val="none" w:sz="0" w:space="0" w:color="auto"/>
        <w:right w:val="none" w:sz="0" w:space="0" w:color="auto"/>
      </w:divBdr>
    </w:div>
    <w:div w:id="289896391">
      <w:bodyDiv w:val="1"/>
      <w:marLeft w:val="0"/>
      <w:marRight w:val="0"/>
      <w:marTop w:val="0"/>
      <w:marBottom w:val="0"/>
      <w:divBdr>
        <w:top w:val="none" w:sz="0" w:space="0" w:color="auto"/>
        <w:left w:val="none" w:sz="0" w:space="0" w:color="auto"/>
        <w:bottom w:val="none" w:sz="0" w:space="0" w:color="auto"/>
        <w:right w:val="none" w:sz="0" w:space="0" w:color="auto"/>
      </w:divBdr>
    </w:div>
    <w:div w:id="302541452">
      <w:bodyDiv w:val="1"/>
      <w:marLeft w:val="0"/>
      <w:marRight w:val="0"/>
      <w:marTop w:val="0"/>
      <w:marBottom w:val="0"/>
      <w:divBdr>
        <w:top w:val="none" w:sz="0" w:space="0" w:color="auto"/>
        <w:left w:val="none" w:sz="0" w:space="0" w:color="auto"/>
        <w:bottom w:val="none" w:sz="0" w:space="0" w:color="auto"/>
        <w:right w:val="none" w:sz="0" w:space="0" w:color="auto"/>
      </w:divBdr>
    </w:div>
    <w:div w:id="313486895">
      <w:bodyDiv w:val="1"/>
      <w:marLeft w:val="0"/>
      <w:marRight w:val="0"/>
      <w:marTop w:val="0"/>
      <w:marBottom w:val="0"/>
      <w:divBdr>
        <w:top w:val="none" w:sz="0" w:space="0" w:color="auto"/>
        <w:left w:val="none" w:sz="0" w:space="0" w:color="auto"/>
        <w:bottom w:val="none" w:sz="0" w:space="0" w:color="auto"/>
        <w:right w:val="none" w:sz="0" w:space="0" w:color="auto"/>
      </w:divBdr>
    </w:div>
    <w:div w:id="317805879">
      <w:bodyDiv w:val="1"/>
      <w:marLeft w:val="0"/>
      <w:marRight w:val="0"/>
      <w:marTop w:val="0"/>
      <w:marBottom w:val="0"/>
      <w:divBdr>
        <w:top w:val="none" w:sz="0" w:space="0" w:color="auto"/>
        <w:left w:val="none" w:sz="0" w:space="0" w:color="auto"/>
        <w:bottom w:val="none" w:sz="0" w:space="0" w:color="auto"/>
        <w:right w:val="none" w:sz="0" w:space="0" w:color="auto"/>
      </w:divBdr>
    </w:div>
    <w:div w:id="336466772">
      <w:bodyDiv w:val="1"/>
      <w:marLeft w:val="0"/>
      <w:marRight w:val="0"/>
      <w:marTop w:val="0"/>
      <w:marBottom w:val="0"/>
      <w:divBdr>
        <w:top w:val="none" w:sz="0" w:space="0" w:color="auto"/>
        <w:left w:val="none" w:sz="0" w:space="0" w:color="auto"/>
        <w:bottom w:val="none" w:sz="0" w:space="0" w:color="auto"/>
        <w:right w:val="none" w:sz="0" w:space="0" w:color="auto"/>
      </w:divBdr>
    </w:div>
    <w:div w:id="341473522">
      <w:bodyDiv w:val="1"/>
      <w:marLeft w:val="0"/>
      <w:marRight w:val="0"/>
      <w:marTop w:val="0"/>
      <w:marBottom w:val="0"/>
      <w:divBdr>
        <w:top w:val="none" w:sz="0" w:space="0" w:color="auto"/>
        <w:left w:val="none" w:sz="0" w:space="0" w:color="auto"/>
        <w:bottom w:val="none" w:sz="0" w:space="0" w:color="auto"/>
        <w:right w:val="none" w:sz="0" w:space="0" w:color="auto"/>
      </w:divBdr>
    </w:div>
    <w:div w:id="344597413">
      <w:bodyDiv w:val="1"/>
      <w:marLeft w:val="0"/>
      <w:marRight w:val="0"/>
      <w:marTop w:val="0"/>
      <w:marBottom w:val="0"/>
      <w:divBdr>
        <w:top w:val="none" w:sz="0" w:space="0" w:color="auto"/>
        <w:left w:val="none" w:sz="0" w:space="0" w:color="auto"/>
        <w:bottom w:val="none" w:sz="0" w:space="0" w:color="auto"/>
        <w:right w:val="none" w:sz="0" w:space="0" w:color="auto"/>
      </w:divBdr>
      <w:divsChild>
        <w:div w:id="1508516732">
          <w:marLeft w:val="274"/>
          <w:marRight w:val="0"/>
          <w:marTop w:val="0"/>
          <w:marBottom w:val="43"/>
          <w:divBdr>
            <w:top w:val="none" w:sz="0" w:space="0" w:color="auto"/>
            <w:left w:val="none" w:sz="0" w:space="0" w:color="auto"/>
            <w:bottom w:val="none" w:sz="0" w:space="0" w:color="auto"/>
            <w:right w:val="none" w:sz="0" w:space="0" w:color="auto"/>
          </w:divBdr>
        </w:div>
        <w:div w:id="923488976">
          <w:marLeft w:val="274"/>
          <w:marRight w:val="0"/>
          <w:marTop w:val="0"/>
          <w:marBottom w:val="43"/>
          <w:divBdr>
            <w:top w:val="none" w:sz="0" w:space="0" w:color="auto"/>
            <w:left w:val="none" w:sz="0" w:space="0" w:color="auto"/>
            <w:bottom w:val="none" w:sz="0" w:space="0" w:color="auto"/>
            <w:right w:val="none" w:sz="0" w:space="0" w:color="auto"/>
          </w:divBdr>
        </w:div>
      </w:divsChild>
    </w:div>
    <w:div w:id="371005775">
      <w:bodyDiv w:val="1"/>
      <w:marLeft w:val="0"/>
      <w:marRight w:val="0"/>
      <w:marTop w:val="0"/>
      <w:marBottom w:val="0"/>
      <w:divBdr>
        <w:top w:val="none" w:sz="0" w:space="0" w:color="auto"/>
        <w:left w:val="none" w:sz="0" w:space="0" w:color="auto"/>
        <w:bottom w:val="none" w:sz="0" w:space="0" w:color="auto"/>
        <w:right w:val="none" w:sz="0" w:space="0" w:color="auto"/>
      </w:divBdr>
    </w:div>
    <w:div w:id="377434068">
      <w:bodyDiv w:val="1"/>
      <w:marLeft w:val="0"/>
      <w:marRight w:val="0"/>
      <w:marTop w:val="0"/>
      <w:marBottom w:val="0"/>
      <w:divBdr>
        <w:top w:val="none" w:sz="0" w:space="0" w:color="auto"/>
        <w:left w:val="none" w:sz="0" w:space="0" w:color="auto"/>
        <w:bottom w:val="none" w:sz="0" w:space="0" w:color="auto"/>
        <w:right w:val="none" w:sz="0" w:space="0" w:color="auto"/>
      </w:divBdr>
    </w:div>
    <w:div w:id="412746243">
      <w:bodyDiv w:val="1"/>
      <w:marLeft w:val="0"/>
      <w:marRight w:val="0"/>
      <w:marTop w:val="0"/>
      <w:marBottom w:val="0"/>
      <w:divBdr>
        <w:top w:val="none" w:sz="0" w:space="0" w:color="auto"/>
        <w:left w:val="none" w:sz="0" w:space="0" w:color="auto"/>
        <w:bottom w:val="none" w:sz="0" w:space="0" w:color="auto"/>
        <w:right w:val="none" w:sz="0" w:space="0" w:color="auto"/>
      </w:divBdr>
    </w:div>
    <w:div w:id="432283643">
      <w:bodyDiv w:val="1"/>
      <w:marLeft w:val="0"/>
      <w:marRight w:val="0"/>
      <w:marTop w:val="0"/>
      <w:marBottom w:val="0"/>
      <w:divBdr>
        <w:top w:val="none" w:sz="0" w:space="0" w:color="auto"/>
        <w:left w:val="none" w:sz="0" w:space="0" w:color="auto"/>
        <w:bottom w:val="none" w:sz="0" w:space="0" w:color="auto"/>
        <w:right w:val="none" w:sz="0" w:space="0" w:color="auto"/>
      </w:divBdr>
    </w:div>
    <w:div w:id="432675312">
      <w:bodyDiv w:val="1"/>
      <w:marLeft w:val="0"/>
      <w:marRight w:val="0"/>
      <w:marTop w:val="0"/>
      <w:marBottom w:val="0"/>
      <w:divBdr>
        <w:top w:val="none" w:sz="0" w:space="0" w:color="auto"/>
        <w:left w:val="none" w:sz="0" w:space="0" w:color="auto"/>
        <w:bottom w:val="none" w:sz="0" w:space="0" w:color="auto"/>
        <w:right w:val="none" w:sz="0" w:space="0" w:color="auto"/>
      </w:divBdr>
    </w:div>
    <w:div w:id="434398151">
      <w:bodyDiv w:val="1"/>
      <w:marLeft w:val="0"/>
      <w:marRight w:val="0"/>
      <w:marTop w:val="0"/>
      <w:marBottom w:val="0"/>
      <w:divBdr>
        <w:top w:val="none" w:sz="0" w:space="0" w:color="auto"/>
        <w:left w:val="none" w:sz="0" w:space="0" w:color="auto"/>
        <w:bottom w:val="none" w:sz="0" w:space="0" w:color="auto"/>
        <w:right w:val="none" w:sz="0" w:space="0" w:color="auto"/>
      </w:divBdr>
    </w:div>
    <w:div w:id="450973535">
      <w:bodyDiv w:val="1"/>
      <w:marLeft w:val="0"/>
      <w:marRight w:val="0"/>
      <w:marTop w:val="0"/>
      <w:marBottom w:val="0"/>
      <w:divBdr>
        <w:top w:val="none" w:sz="0" w:space="0" w:color="auto"/>
        <w:left w:val="none" w:sz="0" w:space="0" w:color="auto"/>
        <w:bottom w:val="none" w:sz="0" w:space="0" w:color="auto"/>
        <w:right w:val="none" w:sz="0" w:space="0" w:color="auto"/>
      </w:divBdr>
    </w:div>
    <w:div w:id="455295379">
      <w:bodyDiv w:val="1"/>
      <w:marLeft w:val="0"/>
      <w:marRight w:val="0"/>
      <w:marTop w:val="0"/>
      <w:marBottom w:val="0"/>
      <w:divBdr>
        <w:top w:val="none" w:sz="0" w:space="0" w:color="auto"/>
        <w:left w:val="none" w:sz="0" w:space="0" w:color="auto"/>
        <w:bottom w:val="none" w:sz="0" w:space="0" w:color="auto"/>
        <w:right w:val="none" w:sz="0" w:space="0" w:color="auto"/>
      </w:divBdr>
    </w:div>
    <w:div w:id="460728327">
      <w:bodyDiv w:val="1"/>
      <w:marLeft w:val="0"/>
      <w:marRight w:val="0"/>
      <w:marTop w:val="0"/>
      <w:marBottom w:val="0"/>
      <w:divBdr>
        <w:top w:val="none" w:sz="0" w:space="0" w:color="auto"/>
        <w:left w:val="none" w:sz="0" w:space="0" w:color="auto"/>
        <w:bottom w:val="none" w:sz="0" w:space="0" w:color="auto"/>
        <w:right w:val="none" w:sz="0" w:space="0" w:color="auto"/>
      </w:divBdr>
      <w:divsChild>
        <w:div w:id="1917284161">
          <w:marLeft w:val="274"/>
          <w:marRight w:val="0"/>
          <w:marTop w:val="0"/>
          <w:marBottom w:val="0"/>
          <w:divBdr>
            <w:top w:val="none" w:sz="0" w:space="0" w:color="auto"/>
            <w:left w:val="none" w:sz="0" w:space="0" w:color="auto"/>
            <w:bottom w:val="none" w:sz="0" w:space="0" w:color="auto"/>
            <w:right w:val="none" w:sz="0" w:space="0" w:color="auto"/>
          </w:divBdr>
        </w:div>
        <w:div w:id="474222082">
          <w:marLeft w:val="274"/>
          <w:marRight w:val="0"/>
          <w:marTop w:val="0"/>
          <w:marBottom w:val="0"/>
          <w:divBdr>
            <w:top w:val="none" w:sz="0" w:space="0" w:color="auto"/>
            <w:left w:val="none" w:sz="0" w:space="0" w:color="auto"/>
            <w:bottom w:val="none" w:sz="0" w:space="0" w:color="auto"/>
            <w:right w:val="none" w:sz="0" w:space="0" w:color="auto"/>
          </w:divBdr>
        </w:div>
        <w:div w:id="1244029987">
          <w:marLeft w:val="274"/>
          <w:marRight w:val="0"/>
          <w:marTop w:val="0"/>
          <w:marBottom w:val="0"/>
          <w:divBdr>
            <w:top w:val="none" w:sz="0" w:space="0" w:color="auto"/>
            <w:left w:val="none" w:sz="0" w:space="0" w:color="auto"/>
            <w:bottom w:val="none" w:sz="0" w:space="0" w:color="auto"/>
            <w:right w:val="none" w:sz="0" w:space="0" w:color="auto"/>
          </w:divBdr>
        </w:div>
        <w:div w:id="398751226">
          <w:marLeft w:val="274"/>
          <w:marRight w:val="0"/>
          <w:marTop w:val="0"/>
          <w:marBottom w:val="0"/>
          <w:divBdr>
            <w:top w:val="none" w:sz="0" w:space="0" w:color="auto"/>
            <w:left w:val="none" w:sz="0" w:space="0" w:color="auto"/>
            <w:bottom w:val="none" w:sz="0" w:space="0" w:color="auto"/>
            <w:right w:val="none" w:sz="0" w:space="0" w:color="auto"/>
          </w:divBdr>
        </w:div>
        <w:div w:id="1783263216">
          <w:marLeft w:val="274"/>
          <w:marRight w:val="0"/>
          <w:marTop w:val="0"/>
          <w:marBottom w:val="0"/>
          <w:divBdr>
            <w:top w:val="none" w:sz="0" w:space="0" w:color="auto"/>
            <w:left w:val="none" w:sz="0" w:space="0" w:color="auto"/>
            <w:bottom w:val="none" w:sz="0" w:space="0" w:color="auto"/>
            <w:right w:val="none" w:sz="0" w:space="0" w:color="auto"/>
          </w:divBdr>
        </w:div>
        <w:div w:id="821849550">
          <w:marLeft w:val="274"/>
          <w:marRight w:val="0"/>
          <w:marTop w:val="0"/>
          <w:marBottom w:val="0"/>
          <w:divBdr>
            <w:top w:val="none" w:sz="0" w:space="0" w:color="auto"/>
            <w:left w:val="none" w:sz="0" w:space="0" w:color="auto"/>
            <w:bottom w:val="none" w:sz="0" w:space="0" w:color="auto"/>
            <w:right w:val="none" w:sz="0" w:space="0" w:color="auto"/>
          </w:divBdr>
        </w:div>
        <w:div w:id="709645553">
          <w:marLeft w:val="274"/>
          <w:marRight w:val="0"/>
          <w:marTop w:val="0"/>
          <w:marBottom w:val="0"/>
          <w:divBdr>
            <w:top w:val="none" w:sz="0" w:space="0" w:color="auto"/>
            <w:left w:val="none" w:sz="0" w:space="0" w:color="auto"/>
            <w:bottom w:val="none" w:sz="0" w:space="0" w:color="auto"/>
            <w:right w:val="none" w:sz="0" w:space="0" w:color="auto"/>
          </w:divBdr>
        </w:div>
        <w:div w:id="1020162529">
          <w:marLeft w:val="274"/>
          <w:marRight w:val="0"/>
          <w:marTop w:val="0"/>
          <w:marBottom w:val="0"/>
          <w:divBdr>
            <w:top w:val="none" w:sz="0" w:space="0" w:color="auto"/>
            <w:left w:val="none" w:sz="0" w:space="0" w:color="auto"/>
            <w:bottom w:val="none" w:sz="0" w:space="0" w:color="auto"/>
            <w:right w:val="none" w:sz="0" w:space="0" w:color="auto"/>
          </w:divBdr>
        </w:div>
        <w:div w:id="1191644098">
          <w:marLeft w:val="274"/>
          <w:marRight w:val="0"/>
          <w:marTop w:val="0"/>
          <w:marBottom w:val="0"/>
          <w:divBdr>
            <w:top w:val="none" w:sz="0" w:space="0" w:color="auto"/>
            <w:left w:val="none" w:sz="0" w:space="0" w:color="auto"/>
            <w:bottom w:val="none" w:sz="0" w:space="0" w:color="auto"/>
            <w:right w:val="none" w:sz="0" w:space="0" w:color="auto"/>
          </w:divBdr>
        </w:div>
      </w:divsChild>
    </w:div>
    <w:div w:id="471992217">
      <w:bodyDiv w:val="1"/>
      <w:marLeft w:val="0"/>
      <w:marRight w:val="0"/>
      <w:marTop w:val="0"/>
      <w:marBottom w:val="0"/>
      <w:divBdr>
        <w:top w:val="none" w:sz="0" w:space="0" w:color="auto"/>
        <w:left w:val="none" w:sz="0" w:space="0" w:color="auto"/>
        <w:bottom w:val="none" w:sz="0" w:space="0" w:color="auto"/>
        <w:right w:val="none" w:sz="0" w:space="0" w:color="auto"/>
      </w:divBdr>
    </w:div>
    <w:div w:id="474569358">
      <w:bodyDiv w:val="1"/>
      <w:marLeft w:val="0"/>
      <w:marRight w:val="0"/>
      <w:marTop w:val="0"/>
      <w:marBottom w:val="0"/>
      <w:divBdr>
        <w:top w:val="none" w:sz="0" w:space="0" w:color="auto"/>
        <w:left w:val="none" w:sz="0" w:space="0" w:color="auto"/>
        <w:bottom w:val="none" w:sz="0" w:space="0" w:color="auto"/>
        <w:right w:val="none" w:sz="0" w:space="0" w:color="auto"/>
      </w:divBdr>
    </w:div>
    <w:div w:id="506479298">
      <w:bodyDiv w:val="1"/>
      <w:marLeft w:val="0"/>
      <w:marRight w:val="0"/>
      <w:marTop w:val="0"/>
      <w:marBottom w:val="0"/>
      <w:divBdr>
        <w:top w:val="none" w:sz="0" w:space="0" w:color="auto"/>
        <w:left w:val="none" w:sz="0" w:space="0" w:color="auto"/>
        <w:bottom w:val="none" w:sz="0" w:space="0" w:color="auto"/>
        <w:right w:val="none" w:sz="0" w:space="0" w:color="auto"/>
      </w:divBdr>
    </w:div>
    <w:div w:id="515272787">
      <w:bodyDiv w:val="1"/>
      <w:marLeft w:val="0"/>
      <w:marRight w:val="0"/>
      <w:marTop w:val="0"/>
      <w:marBottom w:val="0"/>
      <w:divBdr>
        <w:top w:val="none" w:sz="0" w:space="0" w:color="auto"/>
        <w:left w:val="none" w:sz="0" w:space="0" w:color="auto"/>
        <w:bottom w:val="none" w:sz="0" w:space="0" w:color="auto"/>
        <w:right w:val="none" w:sz="0" w:space="0" w:color="auto"/>
      </w:divBdr>
    </w:div>
    <w:div w:id="529143724">
      <w:bodyDiv w:val="1"/>
      <w:marLeft w:val="0"/>
      <w:marRight w:val="0"/>
      <w:marTop w:val="0"/>
      <w:marBottom w:val="0"/>
      <w:divBdr>
        <w:top w:val="none" w:sz="0" w:space="0" w:color="auto"/>
        <w:left w:val="none" w:sz="0" w:space="0" w:color="auto"/>
        <w:bottom w:val="none" w:sz="0" w:space="0" w:color="auto"/>
        <w:right w:val="none" w:sz="0" w:space="0" w:color="auto"/>
      </w:divBdr>
    </w:div>
    <w:div w:id="536701965">
      <w:bodyDiv w:val="1"/>
      <w:marLeft w:val="0"/>
      <w:marRight w:val="0"/>
      <w:marTop w:val="0"/>
      <w:marBottom w:val="0"/>
      <w:divBdr>
        <w:top w:val="none" w:sz="0" w:space="0" w:color="auto"/>
        <w:left w:val="none" w:sz="0" w:space="0" w:color="auto"/>
        <w:bottom w:val="none" w:sz="0" w:space="0" w:color="auto"/>
        <w:right w:val="none" w:sz="0" w:space="0" w:color="auto"/>
      </w:divBdr>
    </w:div>
    <w:div w:id="571354592">
      <w:bodyDiv w:val="1"/>
      <w:marLeft w:val="0"/>
      <w:marRight w:val="0"/>
      <w:marTop w:val="0"/>
      <w:marBottom w:val="0"/>
      <w:divBdr>
        <w:top w:val="none" w:sz="0" w:space="0" w:color="auto"/>
        <w:left w:val="none" w:sz="0" w:space="0" w:color="auto"/>
        <w:bottom w:val="none" w:sz="0" w:space="0" w:color="auto"/>
        <w:right w:val="none" w:sz="0" w:space="0" w:color="auto"/>
      </w:divBdr>
    </w:div>
    <w:div w:id="582228400">
      <w:bodyDiv w:val="1"/>
      <w:marLeft w:val="0"/>
      <w:marRight w:val="0"/>
      <w:marTop w:val="0"/>
      <w:marBottom w:val="0"/>
      <w:divBdr>
        <w:top w:val="none" w:sz="0" w:space="0" w:color="auto"/>
        <w:left w:val="none" w:sz="0" w:space="0" w:color="auto"/>
        <w:bottom w:val="none" w:sz="0" w:space="0" w:color="auto"/>
        <w:right w:val="none" w:sz="0" w:space="0" w:color="auto"/>
      </w:divBdr>
    </w:div>
    <w:div w:id="585847562">
      <w:bodyDiv w:val="1"/>
      <w:marLeft w:val="0"/>
      <w:marRight w:val="0"/>
      <w:marTop w:val="0"/>
      <w:marBottom w:val="0"/>
      <w:divBdr>
        <w:top w:val="none" w:sz="0" w:space="0" w:color="auto"/>
        <w:left w:val="none" w:sz="0" w:space="0" w:color="auto"/>
        <w:bottom w:val="none" w:sz="0" w:space="0" w:color="auto"/>
        <w:right w:val="none" w:sz="0" w:space="0" w:color="auto"/>
      </w:divBdr>
    </w:div>
    <w:div w:id="621348222">
      <w:bodyDiv w:val="1"/>
      <w:marLeft w:val="0"/>
      <w:marRight w:val="0"/>
      <w:marTop w:val="0"/>
      <w:marBottom w:val="0"/>
      <w:divBdr>
        <w:top w:val="none" w:sz="0" w:space="0" w:color="auto"/>
        <w:left w:val="none" w:sz="0" w:space="0" w:color="auto"/>
        <w:bottom w:val="none" w:sz="0" w:space="0" w:color="auto"/>
        <w:right w:val="none" w:sz="0" w:space="0" w:color="auto"/>
      </w:divBdr>
    </w:div>
    <w:div w:id="626591284">
      <w:bodyDiv w:val="1"/>
      <w:marLeft w:val="0"/>
      <w:marRight w:val="0"/>
      <w:marTop w:val="0"/>
      <w:marBottom w:val="0"/>
      <w:divBdr>
        <w:top w:val="none" w:sz="0" w:space="0" w:color="auto"/>
        <w:left w:val="none" w:sz="0" w:space="0" w:color="auto"/>
        <w:bottom w:val="none" w:sz="0" w:space="0" w:color="auto"/>
        <w:right w:val="none" w:sz="0" w:space="0" w:color="auto"/>
      </w:divBdr>
    </w:div>
    <w:div w:id="630869431">
      <w:bodyDiv w:val="1"/>
      <w:marLeft w:val="0"/>
      <w:marRight w:val="0"/>
      <w:marTop w:val="0"/>
      <w:marBottom w:val="0"/>
      <w:divBdr>
        <w:top w:val="none" w:sz="0" w:space="0" w:color="auto"/>
        <w:left w:val="none" w:sz="0" w:space="0" w:color="auto"/>
        <w:bottom w:val="none" w:sz="0" w:space="0" w:color="auto"/>
        <w:right w:val="none" w:sz="0" w:space="0" w:color="auto"/>
      </w:divBdr>
    </w:div>
    <w:div w:id="647174584">
      <w:bodyDiv w:val="1"/>
      <w:marLeft w:val="0"/>
      <w:marRight w:val="0"/>
      <w:marTop w:val="0"/>
      <w:marBottom w:val="0"/>
      <w:divBdr>
        <w:top w:val="none" w:sz="0" w:space="0" w:color="auto"/>
        <w:left w:val="none" w:sz="0" w:space="0" w:color="auto"/>
        <w:bottom w:val="none" w:sz="0" w:space="0" w:color="auto"/>
        <w:right w:val="none" w:sz="0" w:space="0" w:color="auto"/>
      </w:divBdr>
    </w:div>
    <w:div w:id="661350400">
      <w:bodyDiv w:val="1"/>
      <w:marLeft w:val="0"/>
      <w:marRight w:val="0"/>
      <w:marTop w:val="0"/>
      <w:marBottom w:val="0"/>
      <w:divBdr>
        <w:top w:val="none" w:sz="0" w:space="0" w:color="auto"/>
        <w:left w:val="none" w:sz="0" w:space="0" w:color="auto"/>
        <w:bottom w:val="none" w:sz="0" w:space="0" w:color="auto"/>
        <w:right w:val="none" w:sz="0" w:space="0" w:color="auto"/>
      </w:divBdr>
    </w:div>
    <w:div w:id="669213524">
      <w:bodyDiv w:val="1"/>
      <w:marLeft w:val="0"/>
      <w:marRight w:val="0"/>
      <w:marTop w:val="0"/>
      <w:marBottom w:val="0"/>
      <w:divBdr>
        <w:top w:val="none" w:sz="0" w:space="0" w:color="auto"/>
        <w:left w:val="none" w:sz="0" w:space="0" w:color="auto"/>
        <w:bottom w:val="none" w:sz="0" w:space="0" w:color="auto"/>
        <w:right w:val="none" w:sz="0" w:space="0" w:color="auto"/>
      </w:divBdr>
    </w:div>
    <w:div w:id="685906505">
      <w:bodyDiv w:val="1"/>
      <w:marLeft w:val="0"/>
      <w:marRight w:val="0"/>
      <w:marTop w:val="0"/>
      <w:marBottom w:val="0"/>
      <w:divBdr>
        <w:top w:val="none" w:sz="0" w:space="0" w:color="auto"/>
        <w:left w:val="none" w:sz="0" w:space="0" w:color="auto"/>
        <w:bottom w:val="none" w:sz="0" w:space="0" w:color="auto"/>
        <w:right w:val="none" w:sz="0" w:space="0" w:color="auto"/>
      </w:divBdr>
    </w:div>
    <w:div w:id="694616899">
      <w:bodyDiv w:val="1"/>
      <w:marLeft w:val="0"/>
      <w:marRight w:val="0"/>
      <w:marTop w:val="0"/>
      <w:marBottom w:val="0"/>
      <w:divBdr>
        <w:top w:val="none" w:sz="0" w:space="0" w:color="auto"/>
        <w:left w:val="none" w:sz="0" w:space="0" w:color="auto"/>
        <w:bottom w:val="none" w:sz="0" w:space="0" w:color="auto"/>
        <w:right w:val="none" w:sz="0" w:space="0" w:color="auto"/>
      </w:divBdr>
    </w:div>
    <w:div w:id="699628238">
      <w:bodyDiv w:val="1"/>
      <w:marLeft w:val="0"/>
      <w:marRight w:val="0"/>
      <w:marTop w:val="0"/>
      <w:marBottom w:val="0"/>
      <w:divBdr>
        <w:top w:val="none" w:sz="0" w:space="0" w:color="auto"/>
        <w:left w:val="none" w:sz="0" w:space="0" w:color="auto"/>
        <w:bottom w:val="none" w:sz="0" w:space="0" w:color="auto"/>
        <w:right w:val="none" w:sz="0" w:space="0" w:color="auto"/>
      </w:divBdr>
    </w:div>
    <w:div w:id="702246087">
      <w:bodyDiv w:val="1"/>
      <w:marLeft w:val="0"/>
      <w:marRight w:val="0"/>
      <w:marTop w:val="0"/>
      <w:marBottom w:val="0"/>
      <w:divBdr>
        <w:top w:val="none" w:sz="0" w:space="0" w:color="auto"/>
        <w:left w:val="none" w:sz="0" w:space="0" w:color="auto"/>
        <w:bottom w:val="none" w:sz="0" w:space="0" w:color="auto"/>
        <w:right w:val="none" w:sz="0" w:space="0" w:color="auto"/>
      </w:divBdr>
    </w:div>
    <w:div w:id="710813228">
      <w:bodyDiv w:val="1"/>
      <w:marLeft w:val="0"/>
      <w:marRight w:val="0"/>
      <w:marTop w:val="0"/>
      <w:marBottom w:val="0"/>
      <w:divBdr>
        <w:top w:val="none" w:sz="0" w:space="0" w:color="auto"/>
        <w:left w:val="none" w:sz="0" w:space="0" w:color="auto"/>
        <w:bottom w:val="none" w:sz="0" w:space="0" w:color="auto"/>
        <w:right w:val="none" w:sz="0" w:space="0" w:color="auto"/>
      </w:divBdr>
    </w:div>
    <w:div w:id="714501165">
      <w:bodyDiv w:val="1"/>
      <w:marLeft w:val="0"/>
      <w:marRight w:val="0"/>
      <w:marTop w:val="0"/>
      <w:marBottom w:val="0"/>
      <w:divBdr>
        <w:top w:val="none" w:sz="0" w:space="0" w:color="auto"/>
        <w:left w:val="none" w:sz="0" w:space="0" w:color="auto"/>
        <w:bottom w:val="none" w:sz="0" w:space="0" w:color="auto"/>
        <w:right w:val="none" w:sz="0" w:space="0" w:color="auto"/>
      </w:divBdr>
    </w:div>
    <w:div w:id="722754290">
      <w:bodyDiv w:val="1"/>
      <w:marLeft w:val="0"/>
      <w:marRight w:val="0"/>
      <w:marTop w:val="0"/>
      <w:marBottom w:val="0"/>
      <w:divBdr>
        <w:top w:val="none" w:sz="0" w:space="0" w:color="auto"/>
        <w:left w:val="none" w:sz="0" w:space="0" w:color="auto"/>
        <w:bottom w:val="none" w:sz="0" w:space="0" w:color="auto"/>
        <w:right w:val="none" w:sz="0" w:space="0" w:color="auto"/>
      </w:divBdr>
    </w:div>
    <w:div w:id="734745571">
      <w:bodyDiv w:val="1"/>
      <w:marLeft w:val="0"/>
      <w:marRight w:val="0"/>
      <w:marTop w:val="0"/>
      <w:marBottom w:val="0"/>
      <w:divBdr>
        <w:top w:val="none" w:sz="0" w:space="0" w:color="auto"/>
        <w:left w:val="none" w:sz="0" w:space="0" w:color="auto"/>
        <w:bottom w:val="none" w:sz="0" w:space="0" w:color="auto"/>
        <w:right w:val="none" w:sz="0" w:space="0" w:color="auto"/>
      </w:divBdr>
    </w:div>
    <w:div w:id="738988471">
      <w:bodyDiv w:val="1"/>
      <w:marLeft w:val="0"/>
      <w:marRight w:val="0"/>
      <w:marTop w:val="0"/>
      <w:marBottom w:val="0"/>
      <w:divBdr>
        <w:top w:val="none" w:sz="0" w:space="0" w:color="auto"/>
        <w:left w:val="none" w:sz="0" w:space="0" w:color="auto"/>
        <w:bottom w:val="none" w:sz="0" w:space="0" w:color="auto"/>
        <w:right w:val="none" w:sz="0" w:space="0" w:color="auto"/>
      </w:divBdr>
    </w:div>
    <w:div w:id="742336739">
      <w:bodyDiv w:val="1"/>
      <w:marLeft w:val="0"/>
      <w:marRight w:val="0"/>
      <w:marTop w:val="0"/>
      <w:marBottom w:val="0"/>
      <w:divBdr>
        <w:top w:val="none" w:sz="0" w:space="0" w:color="auto"/>
        <w:left w:val="none" w:sz="0" w:space="0" w:color="auto"/>
        <w:bottom w:val="none" w:sz="0" w:space="0" w:color="auto"/>
        <w:right w:val="none" w:sz="0" w:space="0" w:color="auto"/>
      </w:divBdr>
    </w:div>
    <w:div w:id="742724593">
      <w:bodyDiv w:val="1"/>
      <w:marLeft w:val="0"/>
      <w:marRight w:val="0"/>
      <w:marTop w:val="0"/>
      <w:marBottom w:val="0"/>
      <w:divBdr>
        <w:top w:val="none" w:sz="0" w:space="0" w:color="auto"/>
        <w:left w:val="none" w:sz="0" w:space="0" w:color="auto"/>
        <w:bottom w:val="none" w:sz="0" w:space="0" w:color="auto"/>
        <w:right w:val="none" w:sz="0" w:space="0" w:color="auto"/>
      </w:divBdr>
    </w:div>
    <w:div w:id="742989418">
      <w:bodyDiv w:val="1"/>
      <w:marLeft w:val="0"/>
      <w:marRight w:val="0"/>
      <w:marTop w:val="0"/>
      <w:marBottom w:val="0"/>
      <w:divBdr>
        <w:top w:val="none" w:sz="0" w:space="0" w:color="auto"/>
        <w:left w:val="none" w:sz="0" w:space="0" w:color="auto"/>
        <w:bottom w:val="none" w:sz="0" w:space="0" w:color="auto"/>
        <w:right w:val="none" w:sz="0" w:space="0" w:color="auto"/>
      </w:divBdr>
    </w:div>
    <w:div w:id="761993866">
      <w:bodyDiv w:val="1"/>
      <w:marLeft w:val="0"/>
      <w:marRight w:val="0"/>
      <w:marTop w:val="0"/>
      <w:marBottom w:val="0"/>
      <w:divBdr>
        <w:top w:val="none" w:sz="0" w:space="0" w:color="auto"/>
        <w:left w:val="none" w:sz="0" w:space="0" w:color="auto"/>
        <w:bottom w:val="none" w:sz="0" w:space="0" w:color="auto"/>
        <w:right w:val="none" w:sz="0" w:space="0" w:color="auto"/>
      </w:divBdr>
    </w:div>
    <w:div w:id="809860364">
      <w:bodyDiv w:val="1"/>
      <w:marLeft w:val="0"/>
      <w:marRight w:val="0"/>
      <w:marTop w:val="0"/>
      <w:marBottom w:val="0"/>
      <w:divBdr>
        <w:top w:val="none" w:sz="0" w:space="0" w:color="auto"/>
        <w:left w:val="none" w:sz="0" w:space="0" w:color="auto"/>
        <w:bottom w:val="none" w:sz="0" w:space="0" w:color="auto"/>
        <w:right w:val="none" w:sz="0" w:space="0" w:color="auto"/>
      </w:divBdr>
    </w:div>
    <w:div w:id="818348133">
      <w:bodyDiv w:val="1"/>
      <w:marLeft w:val="0"/>
      <w:marRight w:val="0"/>
      <w:marTop w:val="0"/>
      <w:marBottom w:val="0"/>
      <w:divBdr>
        <w:top w:val="none" w:sz="0" w:space="0" w:color="auto"/>
        <w:left w:val="none" w:sz="0" w:space="0" w:color="auto"/>
        <w:bottom w:val="none" w:sz="0" w:space="0" w:color="auto"/>
        <w:right w:val="none" w:sz="0" w:space="0" w:color="auto"/>
      </w:divBdr>
    </w:div>
    <w:div w:id="862788969">
      <w:bodyDiv w:val="1"/>
      <w:marLeft w:val="0"/>
      <w:marRight w:val="0"/>
      <w:marTop w:val="0"/>
      <w:marBottom w:val="0"/>
      <w:divBdr>
        <w:top w:val="none" w:sz="0" w:space="0" w:color="auto"/>
        <w:left w:val="none" w:sz="0" w:space="0" w:color="auto"/>
        <w:bottom w:val="none" w:sz="0" w:space="0" w:color="auto"/>
        <w:right w:val="none" w:sz="0" w:space="0" w:color="auto"/>
      </w:divBdr>
    </w:div>
    <w:div w:id="868178905">
      <w:bodyDiv w:val="1"/>
      <w:marLeft w:val="0"/>
      <w:marRight w:val="0"/>
      <w:marTop w:val="0"/>
      <w:marBottom w:val="0"/>
      <w:divBdr>
        <w:top w:val="none" w:sz="0" w:space="0" w:color="auto"/>
        <w:left w:val="none" w:sz="0" w:space="0" w:color="auto"/>
        <w:bottom w:val="none" w:sz="0" w:space="0" w:color="auto"/>
        <w:right w:val="none" w:sz="0" w:space="0" w:color="auto"/>
      </w:divBdr>
    </w:div>
    <w:div w:id="873343213">
      <w:bodyDiv w:val="1"/>
      <w:marLeft w:val="0"/>
      <w:marRight w:val="0"/>
      <w:marTop w:val="0"/>
      <w:marBottom w:val="0"/>
      <w:divBdr>
        <w:top w:val="none" w:sz="0" w:space="0" w:color="auto"/>
        <w:left w:val="none" w:sz="0" w:space="0" w:color="auto"/>
        <w:bottom w:val="none" w:sz="0" w:space="0" w:color="auto"/>
        <w:right w:val="none" w:sz="0" w:space="0" w:color="auto"/>
      </w:divBdr>
    </w:div>
    <w:div w:id="893740940">
      <w:bodyDiv w:val="1"/>
      <w:marLeft w:val="0"/>
      <w:marRight w:val="0"/>
      <w:marTop w:val="0"/>
      <w:marBottom w:val="0"/>
      <w:divBdr>
        <w:top w:val="none" w:sz="0" w:space="0" w:color="auto"/>
        <w:left w:val="none" w:sz="0" w:space="0" w:color="auto"/>
        <w:bottom w:val="none" w:sz="0" w:space="0" w:color="auto"/>
        <w:right w:val="none" w:sz="0" w:space="0" w:color="auto"/>
      </w:divBdr>
    </w:div>
    <w:div w:id="904946555">
      <w:bodyDiv w:val="1"/>
      <w:marLeft w:val="0"/>
      <w:marRight w:val="0"/>
      <w:marTop w:val="0"/>
      <w:marBottom w:val="0"/>
      <w:divBdr>
        <w:top w:val="none" w:sz="0" w:space="0" w:color="auto"/>
        <w:left w:val="none" w:sz="0" w:space="0" w:color="auto"/>
        <w:bottom w:val="none" w:sz="0" w:space="0" w:color="auto"/>
        <w:right w:val="none" w:sz="0" w:space="0" w:color="auto"/>
      </w:divBdr>
    </w:div>
    <w:div w:id="910626387">
      <w:bodyDiv w:val="1"/>
      <w:marLeft w:val="0"/>
      <w:marRight w:val="0"/>
      <w:marTop w:val="0"/>
      <w:marBottom w:val="0"/>
      <w:divBdr>
        <w:top w:val="none" w:sz="0" w:space="0" w:color="auto"/>
        <w:left w:val="none" w:sz="0" w:space="0" w:color="auto"/>
        <w:bottom w:val="none" w:sz="0" w:space="0" w:color="auto"/>
        <w:right w:val="none" w:sz="0" w:space="0" w:color="auto"/>
      </w:divBdr>
    </w:div>
    <w:div w:id="926424992">
      <w:bodyDiv w:val="1"/>
      <w:marLeft w:val="0"/>
      <w:marRight w:val="0"/>
      <w:marTop w:val="0"/>
      <w:marBottom w:val="0"/>
      <w:divBdr>
        <w:top w:val="none" w:sz="0" w:space="0" w:color="auto"/>
        <w:left w:val="none" w:sz="0" w:space="0" w:color="auto"/>
        <w:bottom w:val="none" w:sz="0" w:space="0" w:color="auto"/>
        <w:right w:val="none" w:sz="0" w:space="0" w:color="auto"/>
      </w:divBdr>
    </w:div>
    <w:div w:id="935864313">
      <w:bodyDiv w:val="1"/>
      <w:marLeft w:val="0"/>
      <w:marRight w:val="0"/>
      <w:marTop w:val="0"/>
      <w:marBottom w:val="0"/>
      <w:divBdr>
        <w:top w:val="none" w:sz="0" w:space="0" w:color="auto"/>
        <w:left w:val="none" w:sz="0" w:space="0" w:color="auto"/>
        <w:bottom w:val="none" w:sz="0" w:space="0" w:color="auto"/>
        <w:right w:val="none" w:sz="0" w:space="0" w:color="auto"/>
      </w:divBdr>
    </w:div>
    <w:div w:id="965430080">
      <w:bodyDiv w:val="1"/>
      <w:marLeft w:val="0"/>
      <w:marRight w:val="0"/>
      <w:marTop w:val="0"/>
      <w:marBottom w:val="0"/>
      <w:divBdr>
        <w:top w:val="none" w:sz="0" w:space="0" w:color="auto"/>
        <w:left w:val="none" w:sz="0" w:space="0" w:color="auto"/>
        <w:bottom w:val="none" w:sz="0" w:space="0" w:color="auto"/>
        <w:right w:val="none" w:sz="0" w:space="0" w:color="auto"/>
      </w:divBdr>
    </w:div>
    <w:div w:id="974992569">
      <w:bodyDiv w:val="1"/>
      <w:marLeft w:val="0"/>
      <w:marRight w:val="0"/>
      <w:marTop w:val="0"/>
      <w:marBottom w:val="0"/>
      <w:divBdr>
        <w:top w:val="none" w:sz="0" w:space="0" w:color="auto"/>
        <w:left w:val="none" w:sz="0" w:space="0" w:color="auto"/>
        <w:bottom w:val="none" w:sz="0" w:space="0" w:color="auto"/>
        <w:right w:val="none" w:sz="0" w:space="0" w:color="auto"/>
      </w:divBdr>
    </w:div>
    <w:div w:id="985360019">
      <w:bodyDiv w:val="1"/>
      <w:marLeft w:val="0"/>
      <w:marRight w:val="0"/>
      <w:marTop w:val="0"/>
      <w:marBottom w:val="0"/>
      <w:divBdr>
        <w:top w:val="none" w:sz="0" w:space="0" w:color="auto"/>
        <w:left w:val="none" w:sz="0" w:space="0" w:color="auto"/>
        <w:bottom w:val="none" w:sz="0" w:space="0" w:color="auto"/>
        <w:right w:val="none" w:sz="0" w:space="0" w:color="auto"/>
      </w:divBdr>
    </w:div>
    <w:div w:id="1006519566">
      <w:bodyDiv w:val="1"/>
      <w:marLeft w:val="0"/>
      <w:marRight w:val="0"/>
      <w:marTop w:val="0"/>
      <w:marBottom w:val="0"/>
      <w:divBdr>
        <w:top w:val="none" w:sz="0" w:space="0" w:color="auto"/>
        <w:left w:val="none" w:sz="0" w:space="0" w:color="auto"/>
        <w:bottom w:val="none" w:sz="0" w:space="0" w:color="auto"/>
        <w:right w:val="none" w:sz="0" w:space="0" w:color="auto"/>
      </w:divBdr>
    </w:div>
    <w:div w:id="1011294524">
      <w:bodyDiv w:val="1"/>
      <w:marLeft w:val="0"/>
      <w:marRight w:val="0"/>
      <w:marTop w:val="0"/>
      <w:marBottom w:val="0"/>
      <w:divBdr>
        <w:top w:val="none" w:sz="0" w:space="0" w:color="auto"/>
        <w:left w:val="none" w:sz="0" w:space="0" w:color="auto"/>
        <w:bottom w:val="none" w:sz="0" w:space="0" w:color="auto"/>
        <w:right w:val="none" w:sz="0" w:space="0" w:color="auto"/>
      </w:divBdr>
    </w:div>
    <w:div w:id="1017269354">
      <w:bodyDiv w:val="1"/>
      <w:marLeft w:val="0"/>
      <w:marRight w:val="0"/>
      <w:marTop w:val="0"/>
      <w:marBottom w:val="0"/>
      <w:divBdr>
        <w:top w:val="none" w:sz="0" w:space="0" w:color="auto"/>
        <w:left w:val="none" w:sz="0" w:space="0" w:color="auto"/>
        <w:bottom w:val="none" w:sz="0" w:space="0" w:color="auto"/>
        <w:right w:val="none" w:sz="0" w:space="0" w:color="auto"/>
      </w:divBdr>
    </w:div>
    <w:div w:id="1027485735">
      <w:bodyDiv w:val="1"/>
      <w:marLeft w:val="0"/>
      <w:marRight w:val="0"/>
      <w:marTop w:val="0"/>
      <w:marBottom w:val="0"/>
      <w:divBdr>
        <w:top w:val="none" w:sz="0" w:space="0" w:color="auto"/>
        <w:left w:val="none" w:sz="0" w:space="0" w:color="auto"/>
        <w:bottom w:val="none" w:sz="0" w:space="0" w:color="auto"/>
        <w:right w:val="none" w:sz="0" w:space="0" w:color="auto"/>
      </w:divBdr>
    </w:div>
    <w:div w:id="1045832826">
      <w:bodyDiv w:val="1"/>
      <w:marLeft w:val="0"/>
      <w:marRight w:val="0"/>
      <w:marTop w:val="0"/>
      <w:marBottom w:val="0"/>
      <w:divBdr>
        <w:top w:val="none" w:sz="0" w:space="0" w:color="auto"/>
        <w:left w:val="none" w:sz="0" w:space="0" w:color="auto"/>
        <w:bottom w:val="none" w:sz="0" w:space="0" w:color="auto"/>
        <w:right w:val="none" w:sz="0" w:space="0" w:color="auto"/>
      </w:divBdr>
    </w:div>
    <w:div w:id="1063405667">
      <w:bodyDiv w:val="1"/>
      <w:marLeft w:val="0"/>
      <w:marRight w:val="0"/>
      <w:marTop w:val="0"/>
      <w:marBottom w:val="0"/>
      <w:divBdr>
        <w:top w:val="none" w:sz="0" w:space="0" w:color="auto"/>
        <w:left w:val="none" w:sz="0" w:space="0" w:color="auto"/>
        <w:bottom w:val="none" w:sz="0" w:space="0" w:color="auto"/>
        <w:right w:val="none" w:sz="0" w:space="0" w:color="auto"/>
      </w:divBdr>
    </w:div>
    <w:div w:id="1084105505">
      <w:bodyDiv w:val="1"/>
      <w:marLeft w:val="0"/>
      <w:marRight w:val="0"/>
      <w:marTop w:val="0"/>
      <w:marBottom w:val="0"/>
      <w:divBdr>
        <w:top w:val="none" w:sz="0" w:space="0" w:color="auto"/>
        <w:left w:val="none" w:sz="0" w:space="0" w:color="auto"/>
        <w:bottom w:val="none" w:sz="0" w:space="0" w:color="auto"/>
        <w:right w:val="none" w:sz="0" w:space="0" w:color="auto"/>
      </w:divBdr>
    </w:div>
    <w:div w:id="1096055972">
      <w:bodyDiv w:val="1"/>
      <w:marLeft w:val="0"/>
      <w:marRight w:val="0"/>
      <w:marTop w:val="0"/>
      <w:marBottom w:val="0"/>
      <w:divBdr>
        <w:top w:val="none" w:sz="0" w:space="0" w:color="auto"/>
        <w:left w:val="none" w:sz="0" w:space="0" w:color="auto"/>
        <w:bottom w:val="none" w:sz="0" w:space="0" w:color="auto"/>
        <w:right w:val="none" w:sz="0" w:space="0" w:color="auto"/>
      </w:divBdr>
    </w:div>
    <w:div w:id="1109860662">
      <w:bodyDiv w:val="1"/>
      <w:marLeft w:val="0"/>
      <w:marRight w:val="0"/>
      <w:marTop w:val="0"/>
      <w:marBottom w:val="0"/>
      <w:divBdr>
        <w:top w:val="none" w:sz="0" w:space="0" w:color="auto"/>
        <w:left w:val="none" w:sz="0" w:space="0" w:color="auto"/>
        <w:bottom w:val="none" w:sz="0" w:space="0" w:color="auto"/>
        <w:right w:val="none" w:sz="0" w:space="0" w:color="auto"/>
      </w:divBdr>
    </w:div>
    <w:div w:id="1140267128">
      <w:bodyDiv w:val="1"/>
      <w:marLeft w:val="0"/>
      <w:marRight w:val="0"/>
      <w:marTop w:val="0"/>
      <w:marBottom w:val="0"/>
      <w:divBdr>
        <w:top w:val="none" w:sz="0" w:space="0" w:color="auto"/>
        <w:left w:val="none" w:sz="0" w:space="0" w:color="auto"/>
        <w:bottom w:val="none" w:sz="0" w:space="0" w:color="auto"/>
        <w:right w:val="none" w:sz="0" w:space="0" w:color="auto"/>
      </w:divBdr>
    </w:div>
    <w:div w:id="1141338376">
      <w:bodyDiv w:val="1"/>
      <w:marLeft w:val="0"/>
      <w:marRight w:val="0"/>
      <w:marTop w:val="0"/>
      <w:marBottom w:val="0"/>
      <w:divBdr>
        <w:top w:val="none" w:sz="0" w:space="0" w:color="auto"/>
        <w:left w:val="none" w:sz="0" w:space="0" w:color="auto"/>
        <w:bottom w:val="none" w:sz="0" w:space="0" w:color="auto"/>
        <w:right w:val="none" w:sz="0" w:space="0" w:color="auto"/>
      </w:divBdr>
      <w:divsChild>
        <w:div w:id="765273102">
          <w:marLeft w:val="274"/>
          <w:marRight w:val="0"/>
          <w:marTop w:val="0"/>
          <w:marBottom w:val="0"/>
          <w:divBdr>
            <w:top w:val="none" w:sz="0" w:space="0" w:color="auto"/>
            <w:left w:val="none" w:sz="0" w:space="0" w:color="auto"/>
            <w:bottom w:val="none" w:sz="0" w:space="0" w:color="auto"/>
            <w:right w:val="none" w:sz="0" w:space="0" w:color="auto"/>
          </w:divBdr>
        </w:div>
      </w:divsChild>
    </w:div>
    <w:div w:id="1156997003">
      <w:bodyDiv w:val="1"/>
      <w:marLeft w:val="0"/>
      <w:marRight w:val="0"/>
      <w:marTop w:val="0"/>
      <w:marBottom w:val="0"/>
      <w:divBdr>
        <w:top w:val="none" w:sz="0" w:space="0" w:color="auto"/>
        <w:left w:val="none" w:sz="0" w:space="0" w:color="auto"/>
        <w:bottom w:val="none" w:sz="0" w:space="0" w:color="auto"/>
        <w:right w:val="none" w:sz="0" w:space="0" w:color="auto"/>
      </w:divBdr>
    </w:div>
    <w:div w:id="1164206278">
      <w:bodyDiv w:val="1"/>
      <w:marLeft w:val="0"/>
      <w:marRight w:val="0"/>
      <w:marTop w:val="0"/>
      <w:marBottom w:val="0"/>
      <w:divBdr>
        <w:top w:val="none" w:sz="0" w:space="0" w:color="auto"/>
        <w:left w:val="none" w:sz="0" w:space="0" w:color="auto"/>
        <w:bottom w:val="none" w:sz="0" w:space="0" w:color="auto"/>
        <w:right w:val="none" w:sz="0" w:space="0" w:color="auto"/>
      </w:divBdr>
    </w:div>
    <w:div w:id="1173492256">
      <w:bodyDiv w:val="1"/>
      <w:marLeft w:val="0"/>
      <w:marRight w:val="0"/>
      <w:marTop w:val="0"/>
      <w:marBottom w:val="0"/>
      <w:divBdr>
        <w:top w:val="none" w:sz="0" w:space="0" w:color="auto"/>
        <w:left w:val="none" w:sz="0" w:space="0" w:color="auto"/>
        <w:bottom w:val="none" w:sz="0" w:space="0" w:color="auto"/>
        <w:right w:val="none" w:sz="0" w:space="0" w:color="auto"/>
      </w:divBdr>
    </w:div>
    <w:div w:id="1173570051">
      <w:bodyDiv w:val="1"/>
      <w:marLeft w:val="0"/>
      <w:marRight w:val="0"/>
      <w:marTop w:val="0"/>
      <w:marBottom w:val="0"/>
      <w:divBdr>
        <w:top w:val="none" w:sz="0" w:space="0" w:color="auto"/>
        <w:left w:val="none" w:sz="0" w:space="0" w:color="auto"/>
        <w:bottom w:val="none" w:sz="0" w:space="0" w:color="auto"/>
        <w:right w:val="none" w:sz="0" w:space="0" w:color="auto"/>
      </w:divBdr>
    </w:div>
    <w:div w:id="1176460135">
      <w:bodyDiv w:val="1"/>
      <w:marLeft w:val="0"/>
      <w:marRight w:val="0"/>
      <w:marTop w:val="0"/>
      <w:marBottom w:val="0"/>
      <w:divBdr>
        <w:top w:val="none" w:sz="0" w:space="0" w:color="auto"/>
        <w:left w:val="none" w:sz="0" w:space="0" w:color="auto"/>
        <w:bottom w:val="none" w:sz="0" w:space="0" w:color="auto"/>
        <w:right w:val="none" w:sz="0" w:space="0" w:color="auto"/>
      </w:divBdr>
    </w:div>
    <w:div w:id="1178042324">
      <w:bodyDiv w:val="1"/>
      <w:marLeft w:val="0"/>
      <w:marRight w:val="0"/>
      <w:marTop w:val="0"/>
      <w:marBottom w:val="0"/>
      <w:divBdr>
        <w:top w:val="none" w:sz="0" w:space="0" w:color="auto"/>
        <w:left w:val="none" w:sz="0" w:space="0" w:color="auto"/>
        <w:bottom w:val="none" w:sz="0" w:space="0" w:color="auto"/>
        <w:right w:val="none" w:sz="0" w:space="0" w:color="auto"/>
      </w:divBdr>
    </w:div>
    <w:div w:id="1185630459">
      <w:bodyDiv w:val="1"/>
      <w:marLeft w:val="0"/>
      <w:marRight w:val="0"/>
      <w:marTop w:val="0"/>
      <w:marBottom w:val="0"/>
      <w:divBdr>
        <w:top w:val="none" w:sz="0" w:space="0" w:color="auto"/>
        <w:left w:val="none" w:sz="0" w:space="0" w:color="auto"/>
        <w:bottom w:val="none" w:sz="0" w:space="0" w:color="auto"/>
        <w:right w:val="none" w:sz="0" w:space="0" w:color="auto"/>
      </w:divBdr>
    </w:div>
    <w:div w:id="1219979861">
      <w:bodyDiv w:val="1"/>
      <w:marLeft w:val="0"/>
      <w:marRight w:val="0"/>
      <w:marTop w:val="0"/>
      <w:marBottom w:val="0"/>
      <w:divBdr>
        <w:top w:val="none" w:sz="0" w:space="0" w:color="auto"/>
        <w:left w:val="none" w:sz="0" w:space="0" w:color="auto"/>
        <w:bottom w:val="none" w:sz="0" w:space="0" w:color="auto"/>
        <w:right w:val="none" w:sz="0" w:space="0" w:color="auto"/>
      </w:divBdr>
    </w:div>
    <w:div w:id="1220048179">
      <w:bodyDiv w:val="1"/>
      <w:marLeft w:val="0"/>
      <w:marRight w:val="0"/>
      <w:marTop w:val="0"/>
      <w:marBottom w:val="0"/>
      <w:divBdr>
        <w:top w:val="none" w:sz="0" w:space="0" w:color="auto"/>
        <w:left w:val="none" w:sz="0" w:space="0" w:color="auto"/>
        <w:bottom w:val="none" w:sz="0" w:space="0" w:color="auto"/>
        <w:right w:val="none" w:sz="0" w:space="0" w:color="auto"/>
      </w:divBdr>
    </w:div>
    <w:div w:id="1232620454">
      <w:bodyDiv w:val="1"/>
      <w:marLeft w:val="0"/>
      <w:marRight w:val="0"/>
      <w:marTop w:val="0"/>
      <w:marBottom w:val="0"/>
      <w:divBdr>
        <w:top w:val="none" w:sz="0" w:space="0" w:color="auto"/>
        <w:left w:val="none" w:sz="0" w:space="0" w:color="auto"/>
        <w:bottom w:val="none" w:sz="0" w:space="0" w:color="auto"/>
        <w:right w:val="none" w:sz="0" w:space="0" w:color="auto"/>
      </w:divBdr>
    </w:div>
    <w:div w:id="1248614821">
      <w:bodyDiv w:val="1"/>
      <w:marLeft w:val="0"/>
      <w:marRight w:val="0"/>
      <w:marTop w:val="0"/>
      <w:marBottom w:val="0"/>
      <w:divBdr>
        <w:top w:val="none" w:sz="0" w:space="0" w:color="auto"/>
        <w:left w:val="none" w:sz="0" w:space="0" w:color="auto"/>
        <w:bottom w:val="none" w:sz="0" w:space="0" w:color="auto"/>
        <w:right w:val="none" w:sz="0" w:space="0" w:color="auto"/>
      </w:divBdr>
    </w:div>
    <w:div w:id="1258830702">
      <w:bodyDiv w:val="1"/>
      <w:marLeft w:val="0"/>
      <w:marRight w:val="0"/>
      <w:marTop w:val="0"/>
      <w:marBottom w:val="0"/>
      <w:divBdr>
        <w:top w:val="none" w:sz="0" w:space="0" w:color="auto"/>
        <w:left w:val="none" w:sz="0" w:space="0" w:color="auto"/>
        <w:bottom w:val="none" w:sz="0" w:space="0" w:color="auto"/>
        <w:right w:val="none" w:sz="0" w:space="0" w:color="auto"/>
      </w:divBdr>
    </w:div>
    <w:div w:id="1259026901">
      <w:bodyDiv w:val="1"/>
      <w:marLeft w:val="0"/>
      <w:marRight w:val="0"/>
      <w:marTop w:val="0"/>
      <w:marBottom w:val="0"/>
      <w:divBdr>
        <w:top w:val="none" w:sz="0" w:space="0" w:color="auto"/>
        <w:left w:val="none" w:sz="0" w:space="0" w:color="auto"/>
        <w:bottom w:val="none" w:sz="0" w:space="0" w:color="auto"/>
        <w:right w:val="none" w:sz="0" w:space="0" w:color="auto"/>
      </w:divBdr>
    </w:div>
    <w:div w:id="1259407069">
      <w:bodyDiv w:val="1"/>
      <w:marLeft w:val="0"/>
      <w:marRight w:val="0"/>
      <w:marTop w:val="0"/>
      <w:marBottom w:val="0"/>
      <w:divBdr>
        <w:top w:val="none" w:sz="0" w:space="0" w:color="auto"/>
        <w:left w:val="none" w:sz="0" w:space="0" w:color="auto"/>
        <w:bottom w:val="none" w:sz="0" w:space="0" w:color="auto"/>
        <w:right w:val="none" w:sz="0" w:space="0" w:color="auto"/>
      </w:divBdr>
    </w:div>
    <w:div w:id="1265043052">
      <w:bodyDiv w:val="1"/>
      <w:marLeft w:val="0"/>
      <w:marRight w:val="0"/>
      <w:marTop w:val="0"/>
      <w:marBottom w:val="0"/>
      <w:divBdr>
        <w:top w:val="none" w:sz="0" w:space="0" w:color="auto"/>
        <w:left w:val="none" w:sz="0" w:space="0" w:color="auto"/>
        <w:bottom w:val="none" w:sz="0" w:space="0" w:color="auto"/>
        <w:right w:val="none" w:sz="0" w:space="0" w:color="auto"/>
      </w:divBdr>
    </w:div>
    <w:div w:id="1266888759">
      <w:bodyDiv w:val="1"/>
      <w:marLeft w:val="0"/>
      <w:marRight w:val="0"/>
      <w:marTop w:val="0"/>
      <w:marBottom w:val="0"/>
      <w:divBdr>
        <w:top w:val="none" w:sz="0" w:space="0" w:color="auto"/>
        <w:left w:val="none" w:sz="0" w:space="0" w:color="auto"/>
        <w:bottom w:val="none" w:sz="0" w:space="0" w:color="auto"/>
        <w:right w:val="none" w:sz="0" w:space="0" w:color="auto"/>
      </w:divBdr>
      <w:divsChild>
        <w:div w:id="1042172427">
          <w:marLeft w:val="274"/>
          <w:marRight w:val="0"/>
          <w:marTop w:val="0"/>
          <w:marBottom w:val="43"/>
          <w:divBdr>
            <w:top w:val="none" w:sz="0" w:space="0" w:color="auto"/>
            <w:left w:val="none" w:sz="0" w:space="0" w:color="auto"/>
            <w:bottom w:val="none" w:sz="0" w:space="0" w:color="auto"/>
            <w:right w:val="none" w:sz="0" w:space="0" w:color="auto"/>
          </w:divBdr>
        </w:div>
        <w:div w:id="2108959649">
          <w:marLeft w:val="274"/>
          <w:marRight w:val="0"/>
          <w:marTop w:val="0"/>
          <w:marBottom w:val="43"/>
          <w:divBdr>
            <w:top w:val="none" w:sz="0" w:space="0" w:color="auto"/>
            <w:left w:val="none" w:sz="0" w:space="0" w:color="auto"/>
            <w:bottom w:val="none" w:sz="0" w:space="0" w:color="auto"/>
            <w:right w:val="none" w:sz="0" w:space="0" w:color="auto"/>
          </w:divBdr>
        </w:div>
      </w:divsChild>
    </w:div>
    <w:div w:id="1301157774">
      <w:bodyDiv w:val="1"/>
      <w:marLeft w:val="0"/>
      <w:marRight w:val="0"/>
      <w:marTop w:val="0"/>
      <w:marBottom w:val="0"/>
      <w:divBdr>
        <w:top w:val="none" w:sz="0" w:space="0" w:color="auto"/>
        <w:left w:val="none" w:sz="0" w:space="0" w:color="auto"/>
        <w:bottom w:val="none" w:sz="0" w:space="0" w:color="auto"/>
        <w:right w:val="none" w:sz="0" w:space="0" w:color="auto"/>
      </w:divBdr>
    </w:div>
    <w:div w:id="1305116557">
      <w:bodyDiv w:val="1"/>
      <w:marLeft w:val="0"/>
      <w:marRight w:val="0"/>
      <w:marTop w:val="0"/>
      <w:marBottom w:val="0"/>
      <w:divBdr>
        <w:top w:val="none" w:sz="0" w:space="0" w:color="auto"/>
        <w:left w:val="none" w:sz="0" w:space="0" w:color="auto"/>
        <w:bottom w:val="none" w:sz="0" w:space="0" w:color="auto"/>
        <w:right w:val="none" w:sz="0" w:space="0" w:color="auto"/>
      </w:divBdr>
    </w:div>
    <w:div w:id="1310020471">
      <w:bodyDiv w:val="1"/>
      <w:marLeft w:val="0"/>
      <w:marRight w:val="0"/>
      <w:marTop w:val="0"/>
      <w:marBottom w:val="0"/>
      <w:divBdr>
        <w:top w:val="none" w:sz="0" w:space="0" w:color="auto"/>
        <w:left w:val="none" w:sz="0" w:space="0" w:color="auto"/>
        <w:bottom w:val="none" w:sz="0" w:space="0" w:color="auto"/>
        <w:right w:val="none" w:sz="0" w:space="0" w:color="auto"/>
      </w:divBdr>
      <w:divsChild>
        <w:div w:id="1827356305">
          <w:marLeft w:val="274"/>
          <w:marRight w:val="0"/>
          <w:marTop w:val="0"/>
          <w:marBottom w:val="0"/>
          <w:divBdr>
            <w:top w:val="none" w:sz="0" w:space="0" w:color="auto"/>
            <w:left w:val="none" w:sz="0" w:space="0" w:color="auto"/>
            <w:bottom w:val="none" w:sz="0" w:space="0" w:color="auto"/>
            <w:right w:val="none" w:sz="0" w:space="0" w:color="auto"/>
          </w:divBdr>
        </w:div>
      </w:divsChild>
    </w:div>
    <w:div w:id="1310748128">
      <w:bodyDiv w:val="1"/>
      <w:marLeft w:val="0"/>
      <w:marRight w:val="0"/>
      <w:marTop w:val="0"/>
      <w:marBottom w:val="0"/>
      <w:divBdr>
        <w:top w:val="none" w:sz="0" w:space="0" w:color="auto"/>
        <w:left w:val="none" w:sz="0" w:space="0" w:color="auto"/>
        <w:bottom w:val="none" w:sz="0" w:space="0" w:color="auto"/>
        <w:right w:val="none" w:sz="0" w:space="0" w:color="auto"/>
      </w:divBdr>
    </w:div>
    <w:div w:id="1317416108">
      <w:bodyDiv w:val="1"/>
      <w:marLeft w:val="0"/>
      <w:marRight w:val="0"/>
      <w:marTop w:val="0"/>
      <w:marBottom w:val="0"/>
      <w:divBdr>
        <w:top w:val="none" w:sz="0" w:space="0" w:color="auto"/>
        <w:left w:val="none" w:sz="0" w:space="0" w:color="auto"/>
        <w:bottom w:val="none" w:sz="0" w:space="0" w:color="auto"/>
        <w:right w:val="none" w:sz="0" w:space="0" w:color="auto"/>
      </w:divBdr>
    </w:div>
    <w:div w:id="1318724345">
      <w:bodyDiv w:val="1"/>
      <w:marLeft w:val="0"/>
      <w:marRight w:val="0"/>
      <w:marTop w:val="0"/>
      <w:marBottom w:val="0"/>
      <w:divBdr>
        <w:top w:val="none" w:sz="0" w:space="0" w:color="auto"/>
        <w:left w:val="none" w:sz="0" w:space="0" w:color="auto"/>
        <w:bottom w:val="none" w:sz="0" w:space="0" w:color="auto"/>
        <w:right w:val="none" w:sz="0" w:space="0" w:color="auto"/>
      </w:divBdr>
    </w:div>
    <w:div w:id="1332217275">
      <w:bodyDiv w:val="1"/>
      <w:marLeft w:val="0"/>
      <w:marRight w:val="0"/>
      <w:marTop w:val="0"/>
      <w:marBottom w:val="0"/>
      <w:divBdr>
        <w:top w:val="none" w:sz="0" w:space="0" w:color="auto"/>
        <w:left w:val="none" w:sz="0" w:space="0" w:color="auto"/>
        <w:bottom w:val="none" w:sz="0" w:space="0" w:color="auto"/>
        <w:right w:val="none" w:sz="0" w:space="0" w:color="auto"/>
      </w:divBdr>
    </w:div>
    <w:div w:id="1337805080">
      <w:bodyDiv w:val="1"/>
      <w:marLeft w:val="0"/>
      <w:marRight w:val="0"/>
      <w:marTop w:val="0"/>
      <w:marBottom w:val="0"/>
      <w:divBdr>
        <w:top w:val="none" w:sz="0" w:space="0" w:color="auto"/>
        <w:left w:val="none" w:sz="0" w:space="0" w:color="auto"/>
        <w:bottom w:val="none" w:sz="0" w:space="0" w:color="auto"/>
        <w:right w:val="none" w:sz="0" w:space="0" w:color="auto"/>
      </w:divBdr>
    </w:div>
    <w:div w:id="1368792161">
      <w:bodyDiv w:val="1"/>
      <w:marLeft w:val="0"/>
      <w:marRight w:val="0"/>
      <w:marTop w:val="0"/>
      <w:marBottom w:val="0"/>
      <w:divBdr>
        <w:top w:val="none" w:sz="0" w:space="0" w:color="auto"/>
        <w:left w:val="none" w:sz="0" w:space="0" w:color="auto"/>
        <w:bottom w:val="none" w:sz="0" w:space="0" w:color="auto"/>
        <w:right w:val="none" w:sz="0" w:space="0" w:color="auto"/>
      </w:divBdr>
    </w:div>
    <w:div w:id="1406535844">
      <w:bodyDiv w:val="1"/>
      <w:marLeft w:val="0"/>
      <w:marRight w:val="0"/>
      <w:marTop w:val="0"/>
      <w:marBottom w:val="0"/>
      <w:divBdr>
        <w:top w:val="none" w:sz="0" w:space="0" w:color="auto"/>
        <w:left w:val="none" w:sz="0" w:space="0" w:color="auto"/>
        <w:bottom w:val="none" w:sz="0" w:space="0" w:color="auto"/>
        <w:right w:val="none" w:sz="0" w:space="0" w:color="auto"/>
      </w:divBdr>
    </w:div>
    <w:div w:id="1432554587">
      <w:bodyDiv w:val="1"/>
      <w:marLeft w:val="0"/>
      <w:marRight w:val="0"/>
      <w:marTop w:val="0"/>
      <w:marBottom w:val="0"/>
      <w:divBdr>
        <w:top w:val="none" w:sz="0" w:space="0" w:color="auto"/>
        <w:left w:val="none" w:sz="0" w:space="0" w:color="auto"/>
        <w:bottom w:val="none" w:sz="0" w:space="0" w:color="auto"/>
        <w:right w:val="none" w:sz="0" w:space="0" w:color="auto"/>
      </w:divBdr>
    </w:div>
    <w:div w:id="1452094590">
      <w:bodyDiv w:val="1"/>
      <w:marLeft w:val="0"/>
      <w:marRight w:val="0"/>
      <w:marTop w:val="0"/>
      <w:marBottom w:val="0"/>
      <w:divBdr>
        <w:top w:val="none" w:sz="0" w:space="0" w:color="auto"/>
        <w:left w:val="none" w:sz="0" w:space="0" w:color="auto"/>
        <w:bottom w:val="none" w:sz="0" w:space="0" w:color="auto"/>
        <w:right w:val="none" w:sz="0" w:space="0" w:color="auto"/>
      </w:divBdr>
      <w:divsChild>
        <w:div w:id="653878191">
          <w:marLeft w:val="274"/>
          <w:marRight w:val="0"/>
          <w:marTop w:val="0"/>
          <w:marBottom w:val="43"/>
          <w:divBdr>
            <w:top w:val="none" w:sz="0" w:space="0" w:color="auto"/>
            <w:left w:val="none" w:sz="0" w:space="0" w:color="auto"/>
            <w:bottom w:val="none" w:sz="0" w:space="0" w:color="auto"/>
            <w:right w:val="none" w:sz="0" w:space="0" w:color="auto"/>
          </w:divBdr>
        </w:div>
        <w:div w:id="1157259803">
          <w:marLeft w:val="274"/>
          <w:marRight w:val="0"/>
          <w:marTop w:val="0"/>
          <w:marBottom w:val="43"/>
          <w:divBdr>
            <w:top w:val="none" w:sz="0" w:space="0" w:color="auto"/>
            <w:left w:val="none" w:sz="0" w:space="0" w:color="auto"/>
            <w:bottom w:val="none" w:sz="0" w:space="0" w:color="auto"/>
            <w:right w:val="none" w:sz="0" w:space="0" w:color="auto"/>
          </w:divBdr>
        </w:div>
      </w:divsChild>
    </w:div>
    <w:div w:id="1455908096">
      <w:bodyDiv w:val="1"/>
      <w:marLeft w:val="0"/>
      <w:marRight w:val="0"/>
      <w:marTop w:val="0"/>
      <w:marBottom w:val="0"/>
      <w:divBdr>
        <w:top w:val="none" w:sz="0" w:space="0" w:color="auto"/>
        <w:left w:val="none" w:sz="0" w:space="0" w:color="auto"/>
        <w:bottom w:val="none" w:sz="0" w:space="0" w:color="auto"/>
        <w:right w:val="none" w:sz="0" w:space="0" w:color="auto"/>
      </w:divBdr>
    </w:div>
    <w:div w:id="1469516826">
      <w:bodyDiv w:val="1"/>
      <w:marLeft w:val="0"/>
      <w:marRight w:val="0"/>
      <w:marTop w:val="0"/>
      <w:marBottom w:val="0"/>
      <w:divBdr>
        <w:top w:val="none" w:sz="0" w:space="0" w:color="auto"/>
        <w:left w:val="none" w:sz="0" w:space="0" w:color="auto"/>
        <w:bottom w:val="none" w:sz="0" w:space="0" w:color="auto"/>
        <w:right w:val="none" w:sz="0" w:space="0" w:color="auto"/>
      </w:divBdr>
    </w:div>
    <w:div w:id="1480416248">
      <w:bodyDiv w:val="1"/>
      <w:marLeft w:val="0"/>
      <w:marRight w:val="0"/>
      <w:marTop w:val="0"/>
      <w:marBottom w:val="0"/>
      <w:divBdr>
        <w:top w:val="none" w:sz="0" w:space="0" w:color="auto"/>
        <w:left w:val="none" w:sz="0" w:space="0" w:color="auto"/>
        <w:bottom w:val="none" w:sz="0" w:space="0" w:color="auto"/>
        <w:right w:val="none" w:sz="0" w:space="0" w:color="auto"/>
      </w:divBdr>
    </w:div>
    <w:div w:id="1484351775">
      <w:bodyDiv w:val="1"/>
      <w:marLeft w:val="0"/>
      <w:marRight w:val="0"/>
      <w:marTop w:val="0"/>
      <w:marBottom w:val="0"/>
      <w:divBdr>
        <w:top w:val="none" w:sz="0" w:space="0" w:color="auto"/>
        <w:left w:val="none" w:sz="0" w:space="0" w:color="auto"/>
        <w:bottom w:val="none" w:sz="0" w:space="0" w:color="auto"/>
        <w:right w:val="none" w:sz="0" w:space="0" w:color="auto"/>
      </w:divBdr>
    </w:div>
    <w:div w:id="1485464875">
      <w:bodyDiv w:val="1"/>
      <w:marLeft w:val="0"/>
      <w:marRight w:val="0"/>
      <w:marTop w:val="0"/>
      <w:marBottom w:val="0"/>
      <w:divBdr>
        <w:top w:val="none" w:sz="0" w:space="0" w:color="auto"/>
        <w:left w:val="none" w:sz="0" w:space="0" w:color="auto"/>
        <w:bottom w:val="none" w:sz="0" w:space="0" w:color="auto"/>
        <w:right w:val="none" w:sz="0" w:space="0" w:color="auto"/>
      </w:divBdr>
    </w:div>
    <w:div w:id="1511943752">
      <w:bodyDiv w:val="1"/>
      <w:marLeft w:val="0"/>
      <w:marRight w:val="0"/>
      <w:marTop w:val="0"/>
      <w:marBottom w:val="0"/>
      <w:divBdr>
        <w:top w:val="none" w:sz="0" w:space="0" w:color="auto"/>
        <w:left w:val="none" w:sz="0" w:space="0" w:color="auto"/>
        <w:bottom w:val="none" w:sz="0" w:space="0" w:color="auto"/>
        <w:right w:val="none" w:sz="0" w:space="0" w:color="auto"/>
      </w:divBdr>
    </w:div>
    <w:div w:id="1513573070">
      <w:bodyDiv w:val="1"/>
      <w:marLeft w:val="0"/>
      <w:marRight w:val="0"/>
      <w:marTop w:val="0"/>
      <w:marBottom w:val="0"/>
      <w:divBdr>
        <w:top w:val="none" w:sz="0" w:space="0" w:color="auto"/>
        <w:left w:val="none" w:sz="0" w:space="0" w:color="auto"/>
        <w:bottom w:val="none" w:sz="0" w:space="0" w:color="auto"/>
        <w:right w:val="none" w:sz="0" w:space="0" w:color="auto"/>
      </w:divBdr>
    </w:div>
    <w:div w:id="1524321006">
      <w:bodyDiv w:val="1"/>
      <w:marLeft w:val="0"/>
      <w:marRight w:val="0"/>
      <w:marTop w:val="0"/>
      <w:marBottom w:val="0"/>
      <w:divBdr>
        <w:top w:val="none" w:sz="0" w:space="0" w:color="auto"/>
        <w:left w:val="none" w:sz="0" w:space="0" w:color="auto"/>
        <w:bottom w:val="none" w:sz="0" w:space="0" w:color="auto"/>
        <w:right w:val="none" w:sz="0" w:space="0" w:color="auto"/>
      </w:divBdr>
    </w:div>
    <w:div w:id="1528524387">
      <w:bodyDiv w:val="1"/>
      <w:marLeft w:val="0"/>
      <w:marRight w:val="0"/>
      <w:marTop w:val="0"/>
      <w:marBottom w:val="0"/>
      <w:divBdr>
        <w:top w:val="none" w:sz="0" w:space="0" w:color="auto"/>
        <w:left w:val="none" w:sz="0" w:space="0" w:color="auto"/>
        <w:bottom w:val="none" w:sz="0" w:space="0" w:color="auto"/>
        <w:right w:val="none" w:sz="0" w:space="0" w:color="auto"/>
      </w:divBdr>
    </w:div>
    <w:div w:id="1529175525">
      <w:bodyDiv w:val="1"/>
      <w:marLeft w:val="0"/>
      <w:marRight w:val="0"/>
      <w:marTop w:val="0"/>
      <w:marBottom w:val="0"/>
      <w:divBdr>
        <w:top w:val="none" w:sz="0" w:space="0" w:color="auto"/>
        <w:left w:val="none" w:sz="0" w:space="0" w:color="auto"/>
        <w:bottom w:val="none" w:sz="0" w:space="0" w:color="auto"/>
        <w:right w:val="none" w:sz="0" w:space="0" w:color="auto"/>
      </w:divBdr>
    </w:div>
    <w:div w:id="1555651894">
      <w:bodyDiv w:val="1"/>
      <w:marLeft w:val="0"/>
      <w:marRight w:val="0"/>
      <w:marTop w:val="0"/>
      <w:marBottom w:val="0"/>
      <w:divBdr>
        <w:top w:val="none" w:sz="0" w:space="0" w:color="auto"/>
        <w:left w:val="none" w:sz="0" w:space="0" w:color="auto"/>
        <w:bottom w:val="none" w:sz="0" w:space="0" w:color="auto"/>
        <w:right w:val="none" w:sz="0" w:space="0" w:color="auto"/>
      </w:divBdr>
    </w:div>
    <w:div w:id="1560702365">
      <w:bodyDiv w:val="1"/>
      <w:marLeft w:val="0"/>
      <w:marRight w:val="0"/>
      <w:marTop w:val="0"/>
      <w:marBottom w:val="0"/>
      <w:divBdr>
        <w:top w:val="none" w:sz="0" w:space="0" w:color="auto"/>
        <w:left w:val="none" w:sz="0" w:space="0" w:color="auto"/>
        <w:bottom w:val="none" w:sz="0" w:space="0" w:color="auto"/>
        <w:right w:val="none" w:sz="0" w:space="0" w:color="auto"/>
      </w:divBdr>
      <w:divsChild>
        <w:div w:id="1669019625">
          <w:marLeft w:val="274"/>
          <w:marRight w:val="0"/>
          <w:marTop w:val="0"/>
          <w:marBottom w:val="0"/>
          <w:divBdr>
            <w:top w:val="none" w:sz="0" w:space="0" w:color="auto"/>
            <w:left w:val="none" w:sz="0" w:space="0" w:color="auto"/>
            <w:bottom w:val="none" w:sz="0" w:space="0" w:color="auto"/>
            <w:right w:val="none" w:sz="0" w:space="0" w:color="auto"/>
          </w:divBdr>
        </w:div>
        <w:div w:id="1093553350">
          <w:marLeft w:val="274"/>
          <w:marRight w:val="0"/>
          <w:marTop w:val="0"/>
          <w:marBottom w:val="0"/>
          <w:divBdr>
            <w:top w:val="none" w:sz="0" w:space="0" w:color="auto"/>
            <w:left w:val="none" w:sz="0" w:space="0" w:color="auto"/>
            <w:bottom w:val="none" w:sz="0" w:space="0" w:color="auto"/>
            <w:right w:val="none" w:sz="0" w:space="0" w:color="auto"/>
          </w:divBdr>
        </w:div>
      </w:divsChild>
    </w:div>
    <w:div w:id="1569457932">
      <w:bodyDiv w:val="1"/>
      <w:marLeft w:val="0"/>
      <w:marRight w:val="0"/>
      <w:marTop w:val="0"/>
      <w:marBottom w:val="0"/>
      <w:divBdr>
        <w:top w:val="none" w:sz="0" w:space="0" w:color="auto"/>
        <w:left w:val="none" w:sz="0" w:space="0" w:color="auto"/>
        <w:bottom w:val="none" w:sz="0" w:space="0" w:color="auto"/>
        <w:right w:val="none" w:sz="0" w:space="0" w:color="auto"/>
      </w:divBdr>
    </w:div>
    <w:div w:id="1569925127">
      <w:bodyDiv w:val="1"/>
      <w:marLeft w:val="0"/>
      <w:marRight w:val="0"/>
      <w:marTop w:val="0"/>
      <w:marBottom w:val="0"/>
      <w:divBdr>
        <w:top w:val="none" w:sz="0" w:space="0" w:color="auto"/>
        <w:left w:val="none" w:sz="0" w:space="0" w:color="auto"/>
        <w:bottom w:val="none" w:sz="0" w:space="0" w:color="auto"/>
        <w:right w:val="none" w:sz="0" w:space="0" w:color="auto"/>
      </w:divBdr>
    </w:div>
    <w:div w:id="1607956431">
      <w:bodyDiv w:val="1"/>
      <w:marLeft w:val="0"/>
      <w:marRight w:val="0"/>
      <w:marTop w:val="0"/>
      <w:marBottom w:val="0"/>
      <w:divBdr>
        <w:top w:val="none" w:sz="0" w:space="0" w:color="auto"/>
        <w:left w:val="none" w:sz="0" w:space="0" w:color="auto"/>
        <w:bottom w:val="none" w:sz="0" w:space="0" w:color="auto"/>
        <w:right w:val="none" w:sz="0" w:space="0" w:color="auto"/>
      </w:divBdr>
    </w:div>
    <w:div w:id="1664046779">
      <w:bodyDiv w:val="1"/>
      <w:marLeft w:val="0"/>
      <w:marRight w:val="0"/>
      <w:marTop w:val="0"/>
      <w:marBottom w:val="0"/>
      <w:divBdr>
        <w:top w:val="none" w:sz="0" w:space="0" w:color="auto"/>
        <w:left w:val="none" w:sz="0" w:space="0" w:color="auto"/>
        <w:bottom w:val="none" w:sz="0" w:space="0" w:color="auto"/>
        <w:right w:val="none" w:sz="0" w:space="0" w:color="auto"/>
      </w:divBdr>
    </w:div>
    <w:div w:id="1682002075">
      <w:bodyDiv w:val="1"/>
      <w:marLeft w:val="0"/>
      <w:marRight w:val="0"/>
      <w:marTop w:val="0"/>
      <w:marBottom w:val="0"/>
      <w:divBdr>
        <w:top w:val="none" w:sz="0" w:space="0" w:color="auto"/>
        <w:left w:val="none" w:sz="0" w:space="0" w:color="auto"/>
        <w:bottom w:val="none" w:sz="0" w:space="0" w:color="auto"/>
        <w:right w:val="none" w:sz="0" w:space="0" w:color="auto"/>
      </w:divBdr>
    </w:div>
    <w:div w:id="1683777860">
      <w:bodyDiv w:val="1"/>
      <w:marLeft w:val="0"/>
      <w:marRight w:val="0"/>
      <w:marTop w:val="0"/>
      <w:marBottom w:val="0"/>
      <w:divBdr>
        <w:top w:val="none" w:sz="0" w:space="0" w:color="auto"/>
        <w:left w:val="none" w:sz="0" w:space="0" w:color="auto"/>
        <w:bottom w:val="none" w:sz="0" w:space="0" w:color="auto"/>
        <w:right w:val="none" w:sz="0" w:space="0" w:color="auto"/>
      </w:divBdr>
    </w:div>
    <w:div w:id="1712996456">
      <w:bodyDiv w:val="1"/>
      <w:marLeft w:val="0"/>
      <w:marRight w:val="0"/>
      <w:marTop w:val="0"/>
      <w:marBottom w:val="0"/>
      <w:divBdr>
        <w:top w:val="none" w:sz="0" w:space="0" w:color="auto"/>
        <w:left w:val="none" w:sz="0" w:space="0" w:color="auto"/>
        <w:bottom w:val="none" w:sz="0" w:space="0" w:color="auto"/>
        <w:right w:val="none" w:sz="0" w:space="0" w:color="auto"/>
      </w:divBdr>
    </w:div>
    <w:div w:id="1720394692">
      <w:bodyDiv w:val="1"/>
      <w:marLeft w:val="0"/>
      <w:marRight w:val="0"/>
      <w:marTop w:val="0"/>
      <w:marBottom w:val="0"/>
      <w:divBdr>
        <w:top w:val="none" w:sz="0" w:space="0" w:color="auto"/>
        <w:left w:val="none" w:sz="0" w:space="0" w:color="auto"/>
        <w:bottom w:val="none" w:sz="0" w:space="0" w:color="auto"/>
        <w:right w:val="none" w:sz="0" w:space="0" w:color="auto"/>
      </w:divBdr>
    </w:div>
    <w:div w:id="1761096749">
      <w:bodyDiv w:val="1"/>
      <w:marLeft w:val="0"/>
      <w:marRight w:val="0"/>
      <w:marTop w:val="0"/>
      <w:marBottom w:val="0"/>
      <w:divBdr>
        <w:top w:val="none" w:sz="0" w:space="0" w:color="auto"/>
        <w:left w:val="none" w:sz="0" w:space="0" w:color="auto"/>
        <w:bottom w:val="none" w:sz="0" w:space="0" w:color="auto"/>
        <w:right w:val="none" w:sz="0" w:space="0" w:color="auto"/>
      </w:divBdr>
    </w:div>
    <w:div w:id="1766489078">
      <w:bodyDiv w:val="1"/>
      <w:marLeft w:val="0"/>
      <w:marRight w:val="0"/>
      <w:marTop w:val="0"/>
      <w:marBottom w:val="0"/>
      <w:divBdr>
        <w:top w:val="none" w:sz="0" w:space="0" w:color="auto"/>
        <w:left w:val="none" w:sz="0" w:space="0" w:color="auto"/>
        <w:bottom w:val="none" w:sz="0" w:space="0" w:color="auto"/>
        <w:right w:val="none" w:sz="0" w:space="0" w:color="auto"/>
      </w:divBdr>
    </w:div>
    <w:div w:id="1766531752">
      <w:bodyDiv w:val="1"/>
      <w:marLeft w:val="0"/>
      <w:marRight w:val="0"/>
      <w:marTop w:val="0"/>
      <w:marBottom w:val="0"/>
      <w:divBdr>
        <w:top w:val="none" w:sz="0" w:space="0" w:color="auto"/>
        <w:left w:val="none" w:sz="0" w:space="0" w:color="auto"/>
        <w:bottom w:val="none" w:sz="0" w:space="0" w:color="auto"/>
        <w:right w:val="none" w:sz="0" w:space="0" w:color="auto"/>
      </w:divBdr>
    </w:div>
    <w:div w:id="1772965997">
      <w:bodyDiv w:val="1"/>
      <w:marLeft w:val="0"/>
      <w:marRight w:val="0"/>
      <w:marTop w:val="0"/>
      <w:marBottom w:val="0"/>
      <w:divBdr>
        <w:top w:val="none" w:sz="0" w:space="0" w:color="auto"/>
        <w:left w:val="none" w:sz="0" w:space="0" w:color="auto"/>
        <w:bottom w:val="none" w:sz="0" w:space="0" w:color="auto"/>
        <w:right w:val="none" w:sz="0" w:space="0" w:color="auto"/>
      </w:divBdr>
    </w:div>
    <w:div w:id="1798719392">
      <w:bodyDiv w:val="1"/>
      <w:marLeft w:val="0"/>
      <w:marRight w:val="0"/>
      <w:marTop w:val="0"/>
      <w:marBottom w:val="0"/>
      <w:divBdr>
        <w:top w:val="none" w:sz="0" w:space="0" w:color="auto"/>
        <w:left w:val="none" w:sz="0" w:space="0" w:color="auto"/>
        <w:bottom w:val="none" w:sz="0" w:space="0" w:color="auto"/>
        <w:right w:val="none" w:sz="0" w:space="0" w:color="auto"/>
      </w:divBdr>
    </w:div>
    <w:div w:id="1800802788">
      <w:bodyDiv w:val="1"/>
      <w:marLeft w:val="0"/>
      <w:marRight w:val="0"/>
      <w:marTop w:val="0"/>
      <w:marBottom w:val="0"/>
      <w:divBdr>
        <w:top w:val="none" w:sz="0" w:space="0" w:color="auto"/>
        <w:left w:val="none" w:sz="0" w:space="0" w:color="auto"/>
        <w:bottom w:val="none" w:sz="0" w:space="0" w:color="auto"/>
        <w:right w:val="none" w:sz="0" w:space="0" w:color="auto"/>
      </w:divBdr>
    </w:div>
    <w:div w:id="1805151846">
      <w:bodyDiv w:val="1"/>
      <w:marLeft w:val="0"/>
      <w:marRight w:val="0"/>
      <w:marTop w:val="0"/>
      <w:marBottom w:val="0"/>
      <w:divBdr>
        <w:top w:val="none" w:sz="0" w:space="0" w:color="auto"/>
        <w:left w:val="none" w:sz="0" w:space="0" w:color="auto"/>
        <w:bottom w:val="none" w:sz="0" w:space="0" w:color="auto"/>
        <w:right w:val="none" w:sz="0" w:space="0" w:color="auto"/>
      </w:divBdr>
    </w:div>
    <w:div w:id="1822233971">
      <w:bodyDiv w:val="1"/>
      <w:marLeft w:val="0"/>
      <w:marRight w:val="0"/>
      <w:marTop w:val="0"/>
      <w:marBottom w:val="0"/>
      <w:divBdr>
        <w:top w:val="none" w:sz="0" w:space="0" w:color="auto"/>
        <w:left w:val="none" w:sz="0" w:space="0" w:color="auto"/>
        <w:bottom w:val="none" w:sz="0" w:space="0" w:color="auto"/>
        <w:right w:val="none" w:sz="0" w:space="0" w:color="auto"/>
      </w:divBdr>
    </w:div>
    <w:div w:id="1842085912">
      <w:bodyDiv w:val="1"/>
      <w:marLeft w:val="0"/>
      <w:marRight w:val="0"/>
      <w:marTop w:val="0"/>
      <w:marBottom w:val="0"/>
      <w:divBdr>
        <w:top w:val="none" w:sz="0" w:space="0" w:color="auto"/>
        <w:left w:val="none" w:sz="0" w:space="0" w:color="auto"/>
        <w:bottom w:val="none" w:sz="0" w:space="0" w:color="auto"/>
        <w:right w:val="none" w:sz="0" w:space="0" w:color="auto"/>
      </w:divBdr>
    </w:div>
    <w:div w:id="1850367831">
      <w:bodyDiv w:val="1"/>
      <w:marLeft w:val="0"/>
      <w:marRight w:val="0"/>
      <w:marTop w:val="0"/>
      <w:marBottom w:val="0"/>
      <w:divBdr>
        <w:top w:val="none" w:sz="0" w:space="0" w:color="auto"/>
        <w:left w:val="none" w:sz="0" w:space="0" w:color="auto"/>
        <w:bottom w:val="none" w:sz="0" w:space="0" w:color="auto"/>
        <w:right w:val="none" w:sz="0" w:space="0" w:color="auto"/>
      </w:divBdr>
    </w:div>
    <w:div w:id="1862013389">
      <w:bodyDiv w:val="1"/>
      <w:marLeft w:val="0"/>
      <w:marRight w:val="0"/>
      <w:marTop w:val="0"/>
      <w:marBottom w:val="0"/>
      <w:divBdr>
        <w:top w:val="none" w:sz="0" w:space="0" w:color="auto"/>
        <w:left w:val="none" w:sz="0" w:space="0" w:color="auto"/>
        <w:bottom w:val="none" w:sz="0" w:space="0" w:color="auto"/>
        <w:right w:val="none" w:sz="0" w:space="0" w:color="auto"/>
      </w:divBdr>
    </w:div>
    <w:div w:id="1871801796">
      <w:bodyDiv w:val="1"/>
      <w:marLeft w:val="0"/>
      <w:marRight w:val="0"/>
      <w:marTop w:val="0"/>
      <w:marBottom w:val="0"/>
      <w:divBdr>
        <w:top w:val="none" w:sz="0" w:space="0" w:color="auto"/>
        <w:left w:val="none" w:sz="0" w:space="0" w:color="auto"/>
        <w:bottom w:val="none" w:sz="0" w:space="0" w:color="auto"/>
        <w:right w:val="none" w:sz="0" w:space="0" w:color="auto"/>
      </w:divBdr>
    </w:div>
    <w:div w:id="1877232291">
      <w:bodyDiv w:val="1"/>
      <w:marLeft w:val="0"/>
      <w:marRight w:val="0"/>
      <w:marTop w:val="0"/>
      <w:marBottom w:val="0"/>
      <w:divBdr>
        <w:top w:val="none" w:sz="0" w:space="0" w:color="auto"/>
        <w:left w:val="none" w:sz="0" w:space="0" w:color="auto"/>
        <w:bottom w:val="none" w:sz="0" w:space="0" w:color="auto"/>
        <w:right w:val="none" w:sz="0" w:space="0" w:color="auto"/>
      </w:divBdr>
    </w:div>
    <w:div w:id="1912082947">
      <w:bodyDiv w:val="1"/>
      <w:marLeft w:val="0"/>
      <w:marRight w:val="0"/>
      <w:marTop w:val="0"/>
      <w:marBottom w:val="0"/>
      <w:divBdr>
        <w:top w:val="none" w:sz="0" w:space="0" w:color="auto"/>
        <w:left w:val="none" w:sz="0" w:space="0" w:color="auto"/>
        <w:bottom w:val="none" w:sz="0" w:space="0" w:color="auto"/>
        <w:right w:val="none" w:sz="0" w:space="0" w:color="auto"/>
      </w:divBdr>
    </w:div>
    <w:div w:id="1919099460">
      <w:bodyDiv w:val="1"/>
      <w:marLeft w:val="0"/>
      <w:marRight w:val="0"/>
      <w:marTop w:val="0"/>
      <w:marBottom w:val="0"/>
      <w:divBdr>
        <w:top w:val="none" w:sz="0" w:space="0" w:color="auto"/>
        <w:left w:val="none" w:sz="0" w:space="0" w:color="auto"/>
        <w:bottom w:val="none" w:sz="0" w:space="0" w:color="auto"/>
        <w:right w:val="none" w:sz="0" w:space="0" w:color="auto"/>
      </w:divBdr>
    </w:div>
    <w:div w:id="1924870053">
      <w:bodyDiv w:val="1"/>
      <w:marLeft w:val="0"/>
      <w:marRight w:val="0"/>
      <w:marTop w:val="0"/>
      <w:marBottom w:val="0"/>
      <w:divBdr>
        <w:top w:val="none" w:sz="0" w:space="0" w:color="auto"/>
        <w:left w:val="none" w:sz="0" w:space="0" w:color="auto"/>
        <w:bottom w:val="none" w:sz="0" w:space="0" w:color="auto"/>
        <w:right w:val="none" w:sz="0" w:space="0" w:color="auto"/>
      </w:divBdr>
    </w:div>
    <w:div w:id="1951743367">
      <w:bodyDiv w:val="1"/>
      <w:marLeft w:val="0"/>
      <w:marRight w:val="0"/>
      <w:marTop w:val="0"/>
      <w:marBottom w:val="0"/>
      <w:divBdr>
        <w:top w:val="none" w:sz="0" w:space="0" w:color="auto"/>
        <w:left w:val="none" w:sz="0" w:space="0" w:color="auto"/>
        <w:bottom w:val="none" w:sz="0" w:space="0" w:color="auto"/>
        <w:right w:val="none" w:sz="0" w:space="0" w:color="auto"/>
      </w:divBdr>
    </w:div>
    <w:div w:id="1961569246">
      <w:bodyDiv w:val="1"/>
      <w:marLeft w:val="0"/>
      <w:marRight w:val="0"/>
      <w:marTop w:val="0"/>
      <w:marBottom w:val="0"/>
      <w:divBdr>
        <w:top w:val="none" w:sz="0" w:space="0" w:color="auto"/>
        <w:left w:val="none" w:sz="0" w:space="0" w:color="auto"/>
        <w:bottom w:val="none" w:sz="0" w:space="0" w:color="auto"/>
        <w:right w:val="none" w:sz="0" w:space="0" w:color="auto"/>
      </w:divBdr>
    </w:div>
    <w:div w:id="1994135290">
      <w:bodyDiv w:val="1"/>
      <w:marLeft w:val="0"/>
      <w:marRight w:val="0"/>
      <w:marTop w:val="0"/>
      <w:marBottom w:val="0"/>
      <w:divBdr>
        <w:top w:val="none" w:sz="0" w:space="0" w:color="auto"/>
        <w:left w:val="none" w:sz="0" w:space="0" w:color="auto"/>
        <w:bottom w:val="none" w:sz="0" w:space="0" w:color="auto"/>
        <w:right w:val="none" w:sz="0" w:space="0" w:color="auto"/>
      </w:divBdr>
      <w:divsChild>
        <w:div w:id="1855342241">
          <w:marLeft w:val="274"/>
          <w:marRight w:val="0"/>
          <w:marTop w:val="0"/>
          <w:marBottom w:val="0"/>
          <w:divBdr>
            <w:top w:val="none" w:sz="0" w:space="0" w:color="auto"/>
            <w:left w:val="none" w:sz="0" w:space="0" w:color="auto"/>
            <w:bottom w:val="none" w:sz="0" w:space="0" w:color="auto"/>
            <w:right w:val="none" w:sz="0" w:space="0" w:color="auto"/>
          </w:divBdr>
        </w:div>
        <w:div w:id="1339039173">
          <w:marLeft w:val="274"/>
          <w:marRight w:val="0"/>
          <w:marTop w:val="0"/>
          <w:marBottom w:val="0"/>
          <w:divBdr>
            <w:top w:val="none" w:sz="0" w:space="0" w:color="auto"/>
            <w:left w:val="none" w:sz="0" w:space="0" w:color="auto"/>
            <w:bottom w:val="none" w:sz="0" w:space="0" w:color="auto"/>
            <w:right w:val="none" w:sz="0" w:space="0" w:color="auto"/>
          </w:divBdr>
        </w:div>
        <w:div w:id="88475231">
          <w:marLeft w:val="274"/>
          <w:marRight w:val="0"/>
          <w:marTop w:val="0"/>
          <w:marBottom w:val="0"/>
          <w:divBdr>
            <w:top w:val="none" w:sz="0" w:space="0" w:color="auto"/>
            <w:left w:val="none" w:sz="0" w:space="0" w:color="auto"/>
            <w:bottom w:val="none" w:sz="0" w:space="0" w:color="auto"/>
            <w:right w:val="none" w:sz="0" w:space="0" w:color="auto"/>
          </w:divBdr>
        </w:div>
        <w:div w:id="804663004">
          <w:marLeft w:val="274"/>
          <w:marRight w:val="0"/>
          <w:marTop w:val="0"/>
          <w:marBottom w:val="0"/>
          <w:divBdr>
            <w:top w:val="none" w:sz="0" w:space="0" w:color="auto"/>
            <w:left w:val="none" w:sz="0" w:space="0" w:color="auto"/>
            <w:bottom w:val="none" w:sz="0" w:space="0" w:color="auto"/>
            <w:right w:val="none" w:sz="0" w:space="0" w:color="auto"/>
          </w:divBdr>
        </w:div>
        <w:div w:id="174732651">
          <w:marLeft w:val="274"/>
          <w:marRight w:val="0"/>
          <w:marTop w:val="0"/>
          <w:marBottom w:val="0"/>
          <w:divBdr>
            <w:top w:val="none" w:sz="0" w:space="0" w:color="auto"/>
            <w:left w:val="none" w:sz="0" w:space="0" w:color="auto"/>
            <w:bottom w:val="none" w:sz="0" w:space="0" w:color="auto"/>
            <w:right w:val="none" w:sz="0" w:space="0" w:color="auto"/>
          </w:divBdr>
        </w:div>
        <w:div w:id="266430455">
          <w:marLeft w:val="274"/>
          <w:marRight w:val="0"/>
          <w:marTop w:val="0"/>
          <w:marBottom w:val="0"/>
          <w:divBdr>
            <w:top w:val="none" w:sz="0" w:space="0" w:color="auto"/>
            <w:left w:val="none" w:sz="0" w:space="0" w:color="auto"/>
            <w:bottom w:val="none" w:sz="0" w:space="0" w:color="auto"/>
            <w:right w:val="none" w:sz="0" w:space="0" w:color="auto"/>
          </w:divBdr>
        </w:div>
        <w:div w:id="224681604">
          <w:marLeft w:val="274"/>
          <w:marRight w:val="0"/>
          <w:marTop w:val="0"/>
          <w:marBottom w:val="0"/>
          <w:divBdr>
            <w:top w:val="none" w:sz="0" w:space="0" w:color="auto"/>
            <w:left w:val="none" w:sz="0" w:space="0" w:color="auto"/>
            <w:bottom w:val="none" w:sz="0" w:space="0" w:color="auto"/>
            <w:right w:val="none" w:sz="0" w:space="0" w:color="auto"/>
          </w:divBdr>
        </w:div>
        <w:div w:id="1821388348">
          <w:marLeft w:val="274"/>
          <w:marRight w:val="0"/>
          <w:marTop w:val="0"/>
          <w:marBottom w:val="0"/>
          <w:divBdr>
            <w:top w:val="none" w:sz="0" w:space="0" w:color="auto"/>
            <w:left w:val="none" w:sz="0" w:space="0" w:color="auto"/>
            <w:bottom w:val="none" w:sz="0" w:space="0" w:color="auto"/>
            <w:right w:val="none" w:sz="0" w:space="0" w:color="auto"/>
          </w:divBdr>
        </w:div>
        <w:div w:id="1456946533">
          <w:marLeft w:val="274"/>
          <w:marRight w:val="0"/>
          <w:marTop w:val="0"/>
          <w:marBottom w:val="0"/>
          <w:divBdr>
            <w:top w:val="none" w:sz="0" w:space="0" w:color="auto"/>
            <w:left w:val="none" w:sz="0" w:space="0" w:color="auto"/>
            <w:bottom w:val="none" w:sz="0" w:space="0" w:color="auto"/>
            <w:right w:val="none" w:sz="0" w:space="0" w:color="auto"/>
          </w:divBdr>
        </w:div>
      </w:divsChild>
    </w:div>
    <w:div w:id="1997608490">
      <w:bodyDiv w:val="1"/>
      <w:marLeft w:val="0"/>
      <w:marRight w:val="0"/>
      <w:marTop w:val="0"/>
      <w:marBottom w:val="0"/>
      <w:divBdr>
        <w:top w:val="none" w:sz="0" w:space="0" w:color="auto"/>
        <w:left w:val="none" w:sz="0" w:space="0" w:color="auto"/>
        <w:bottom w:val="none" w:sz="0" w:space="0" w:color="auto"/>
        <w:right w:val="none" w:sz="0" w:space="0" w:color="auto"/>
      </w:divBdr>
      <w:divsChild>
        <w:div w:id="1386758833">
          <w:marLeft w:val="547"/>
          <w:marRight w:val="0"/>
          <w:marTop w:val="0"/>
          <w:marBottom w:val="0"/>
          <w:divBdr>
            <w:top w:val="none" w:sz="0" w:space="0" w:color="auto"/>
            <w:left w:val="none" w:sz="0" w:space="0" w:color="auto"/>
            <w:bottom w:val="none" w:sz="0" w:space="0" w:color="auto"/>
            <w:right w:val="none" w:sz="0" w:space="0" w:color="auto"/>
          </w:divBdr>
        </w:div>
        <w:div w:id="72431817">
          <w:marLeft w:val="547"/>
          <w:marRight w:val="0"/>
          <w:marTop w:val="0"/>
          <w:marBottom w:val="0"/>
          <w:divBdr>
            <w:top w:val="none" w:sz="0" w:space="0" w:color="auto"/>
            <w:left w:val="none" w:sz="0" w:space="0" w:color="auto"/>
            <w:bottom w:val="none" w:sz="0" w:space="0" w:color="auto"/>
            <w:right w:val="none" w:sz="0" w:space="0" w:color="auto"/>
          </w:divBdr>
        </w:div>
        <w:div w:id="486629562">
          <w:marLeft w:val="547"/>
          <w:marRight w:val="0"/>
          <w:marTop w:val="0"/>
          <w:marBottom w:val="0"/>
          <w:divBdr>
            <w:top w:val="none" w:sz="0" w:space="0" w:color="auto"/>
            <w:left w:val="none" w:sz="0" w:space="0" w:color="auto"/>
            <w:bottom w:val="none" w:sz="0" w:space="0" w:color="auto"/>
            <w:right w:val="none" w:sz="0" w:space="0" w:color="auto"/>
          </w:divBdr>
        </w:div>
        <w:div w:id="1550459869">
          <w:marLeft w:val="547"/>
          <w:marRight w:val="0"/>
          <w:marTop w:val="0"/>
          <w:marBottom w:val="0"/>
          <w:divBdr>
            <w:top w:val="none" w:sz="0" w:space="0" w:color="auto"/>
            <w:left w:val="none" w:sz="0" w:space="0" w:color="auto"/>
            <w:bottom w:val="none" w:sz="0" w:space="0" w:color="auto"/>
            <w:right w:val="none" w:sz="0" w:space="0" w:color="auto"/>
          </w:divBdr>
        </w:div>
      </w:divsChild>
    </w:div>
    <w:div w:id="2007248788">
      <w:bodyDiv w:val="1"/>
      <w:marLeft w:val="0"/>
      <w:marRight w:val="0"/>
      <w:marTop w:val="0"/>
      <w:marBottom w:val="0"/>
      <w:divBdr>
        <w:top w:val="none" w:sz="0" w:space="0" w:color="auto"/>
        <w:left w:val="none" w:sz="0" w:space="0" w:color="auto"/>
        <w:bottom w:val="none" w:sz="0" w:space="0" w:color="auto"/>
        <w:right w:val="none" w:sz="0" w:space="0" w:color="auto"/>
      </w:divBdr>
    </w:div>
    <w:div w:id="2008709220">
      <w:bodyDiv w:val="1"/>
      <w:marLeft w:val="0"/>
      <w:marRight w:val="0"/>
      <w:marTop w:val="0"/>
      <w:marBottom w:val="0"/>
      <w:divBdr>
        <w:top w:val="none" w:sz="0" w:space="0" w:color="auto"/>
        <w:left w:val="none" w:sz="0" w:space="0" w:color="auto"/>
        <w:bottom w:val="none" w:sz="0" w:space="0" w:color="auto"/>
        <w:right w:val="none" w:sz="0" w:space="0" w:color="auto"/>
      </w:divBdr>
    </w:div>
    <w:div w:id="2030401833">
      <w:bodyDiv w:val="1"/>
      <w:marLeft w:val="0"/>
      <w:marRight w:val="0"/>
      <w:marTop w:val="0"/>
      <w:marBottom w:val="0"/>
      <w:divBdr>
        <w:top w:val="none" w:sz="0" w:space="0" w:color="auto"/>
        <w:left w:val="none" w:sz="0" w:space="0" w:color="auto"/>
        <w:bottom w:val="none" w:sz="0" w:space="0" w:color="auto"/>
        <w:right w:val="none" w:sz="0" w:space="0" w:color="auto"/>
      </w:divBdr>
    </w:div>
    <w:div w:id="2035645991">
      <w:bodyDiv w:val="1"/>
      <w:marLeft w:val="0"/>
      <w:marRight w:val="0"/>
      <w:marTop w:val="0"/>
      <w:marBottom w:val="0"/>
      <w:divBdr>
        <w:top w:val="none" w:sz="0" w:space="0" w:color="auto"/>
        <w:left w:val="none" w:sz="0" w:space="0" w:color="auto"/>
        <w:bottom w:val="none" w:sz="0" w:space="0" w:color="auto"/>
        <w:right w:val="none" w:sz="0" w:space="0" w:color="auto"/>
      </w:divBdr>
    </w:div>
    <w:div w:id="2037541097">
      <w:bodyDiv w:val="1"/>
      <w:marLeft w:val="0"/>
      <w:marRight w:val="0"/>
      <w:marTop w:val="0"/>
      <w:marBottom w:val="0"/>
      <w:divBdr>
        <w:top w:val="none" w:sz="0" w:space="0" w:color="auto"/>
        <w:left w:val="none" w:sz="0" w:space="0" w:color="auto"/>
        <w:bottom w:val="none" w:sz="0" w:space="0" w:color="auto"/>
        <w:right w:val="none" w:sz="0" w:space="0" w:color="auto"/>
      </w:divBdr>
    </w:div>
    <w:div w:id="2044556308">
      <w:bodyDiv w:val="1"/>
      <w:marLeft w:val="0"/>
      <w:marRight w:val="0"/>
      <w:marTop w:val="0"/>
      <w:marBottom w:val="0"/>
      <w:divBdr>
        <w:top w:val="none" w:sz="0" w:space="0" w:color="auto"/>
        <w:left w:val="none" w:sz="0" w:space="0" w:color="auto"/>
        <w:bottom w:val="none" w:sz="0" w:space="0" w:color="auto"/>
        <w:right w:val="none" w:sz="0" w:space="0" w:color="auto"/>
      </w:divBdr>
    </w:div>
    <w:div w:id="2046787465">
      <w:bodyDiv w:val="1"/>
      <w:marLeft w:val="0"/>
      <w:marRight w:val="0"/>
      <w:marTop w:val="0"/>
      <w:marBottom w:val="0"/>
      <w:divBdr>
        <w:top w:val="none" w:sz="0" w:space="0" w:color="auto"/>
        <w:left w:val="none" w:sz="0" w:space="0" w:color="auto"/>
        <w:bottom w:val="none" w:sz="0" w:space="0" w:color="auto"/>
        <w:right w:val="none" w:sz="0" w:space="0" w:color="auto"/>
      </w:divBdr>
    </w:div>
    <w:div w:id="2057661686">
      <w:bodyDiv w:val="1"/>
      <w:marLeft w:val="0"/>
      <w:marRight w:val="0"/>
      <w:marTop w:val="0"/>
      <w:marBottom w:val="0"/>
      <w:divBdr>
        <w:top w:val="none" w:sz="0" w:space="0" w:color="auto"/>
        <w:left w:val="none" w:sz="0" w:space="0" w:color="auto"/>
        <w:bottom w:val="none" w:sz="0" w:space="0" w:color="auto"/>
        <w:right w:val="none" w:sz="0" w:space="0" w:color="auto"/>
      </w:divBdr>
    </w:div>
    <w:div w:id="2061323384">
      <w:bodyDiv w:val="1"/>
      <w:marLeft w:val="0"/>
      <w:marRight w:val="0"/>
      <w:marTop w:val="0"/>
      <w:marBottom w:val="0"/>
      <w:divBdr>
        <w:top w:val="none" w:sz="0" w:space="0" w:color="auto"/>
        <w:left w:val="none" w:sz="0" w:space="0" w:color="auto"/>
        <w:bottom w:val="none" w:sz="0" w:space="0" w:color="auto"/>
        <w:right w:val="none" w:sz="0" w:space="0" w:color="auto"/>
      </w:divBdr>
    </w:div>
    <w:div w:id="2080052411">
      <w:bodyDiv w:val="1"/>
      <w:marLeft w:val="0"/>
      <w:marRight w:val="0"/>
      <w:marTop w:val="0"/>
      <w:marBottom w:val="0"/>
      <w:divBdr>
        <w:top w:val="none" w:sz="0" w:space="0" w:color="auto"/>
        <w:left w:val="none" w:sz="0" w:space="0" w:color="auto"/>
        <w:bottom w:val="none" w:sz="0" w:space="0" w:color="auto"/>
        <w:right w:val="none" w:sz="0" w:space="0" w:color="auto"/>
      </w:divBdr>
    </w:div>
    <w:div w:id="2090031444">
      <w:bodyDiv w:val="1"/>
      <w:marLeft w:val="0"/>
      <w:marRight w:val="0"/>
      <w:marTop w:val="0"/>
      <w:marBottom w:val="0"/>
      <w:divBdr>
        <w:top w:val="none" w:sz="0" w:space="0" w:color="auto"/>
        <w:left w:val="none" w:sz="0" w:space="0" w:color="auto"/>
        <w:bottom w:val="none" w:sz="0" w:space="0" w:color="auto"/>
        <w:right w:val="none" w:sz="0" w:space="0" w:color="auto"/>
      </w:divBdr>
    </w:div>
    <w:div w:id="2115593394">
      <w:bodyDiv w:val="1"/>
      <w:marLeft w:val="0"/>
      <w:marRight w:val="0"/>
      <w:marTop w:val="0"/>
      <w:marBottom w:val="0"/>
      <w:divBdr>
        <w:top w:val="none" w:sz="0" w:space="0" w:color="auto"/>
        <w:left w:val="none" w:sz="0" w:space="0" w:color="auto"/>
        <w:bottom w:val="none" w:sz="0" w:space="0" w:color="auto"/>
        <w:right w:val="none" w:sz="0" w:space="0" w:color="auto"/>
      </w:divBdr>
    </w:div>
    <w:div w:id="2116711903">
      <w:bodyDiv w:val="1"/>
      <w:marLeft w:val="0"/>
      <w:marRight w:val="0"/>
      <w:marTop w:val="0"/>
      <w:marBottom w:val="0"/>
      <w:divBdr>
        <w:top w:val="none" w:sz="0" w:space="0" w:color="auto"/>
        <w:left w:val="none" w:sz="0" w:space="0" w:color="auto"/>
        <w:bottom w:val="none" w:sz="0" w:space="0" w:color="auto"/>
        <w:right w:val="none" w:sz="0" w:space="0" w:color="auto"/>
      </w:divBdr>
    </w:div>
    <w:div w:id="2123694172">
      <w:bodyDiv w:val="1"/>
      <w:marLeft w:val="0"/>
      <w:marRight w:val="0"/>
      <w:marTop w:val="0"/>
      <w:marBottom w:val="0"/>
      <w:divBdr>
        <w:top w:val="none" w:sz="0" w:space="0" w:color="auto"/>
        <w:left w:val="none" w:sz="0" w:space="0" w:color="auto"/>
        <w:bottom w:val="none" w:sz="0" w:space="0" w:color="auto"/>
        <w:right w:val="none" w:sz="0" w:space="0" w:color="auto"/>
      </w:divBdr>
    </w:div>
    <w:div w:id="213490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image" Target="media/image6.emf"/><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0245013348149EFA939FDA63AEF2452"/>
        <w:category>
          <w:name w:val="General"/>
          <w:gallery w:val="placeholder"/>
        </w:category>
        <w:types>
          <w:type w:val="bbPlcHdr"/>
        </w:types>
        <w:behaviors>
          <w:behavior w:val="content"/>
        </w:behaviors>
        <w:guid w:val="{430F62CF-2F2A-4888-B3BF-0AA542B03A1B}"/>
      </w:docPartPr>
      <w:docPartBody>
        <w:p w:rsidR="00F013F2" w:rsidRDefault="007040F4" w:rsidP="007040F4">
          <w:pPr>
            <w:pStyle w:val="30245013348149EFA939FDA63AEF2452"/>
          </w:pPr>
          <w:r w:rsidRPr="00027567">
            <w:rPr>
              <w:rStyle w:val="PlaceholderText"/>
            </w:rPr>
            <w:t>[Title]</w:t>
          </w:r>
        </w:p>
      </w:docPartBody>
    </w:docPart>
    <w:docPart>
      <w:docPartPr>
        <w:name w:val="CF4E9969D9E04CD098CDCA53C03747DF"/>
        <w:category>
          <w:name w:val="General"/>
          <w:gallery w:val="placeholder"/>
        </w:category>
        <w:types>
          <w:type w:val="bbPlcHdr"/>
        </w:types>
        <w:behaviors>
          <w:behavior w:val="content"/>
        </w:behaviors>
        <w:guid w:val="{869346A7-7BC3-49C2-8BA0-B8A4C9C98962}"/>
      </w:docPartPr>
      <w:docPartBody>
        <w:p w:rsidR="00C844E9" w:rsidRDefault="00C844E9" w:rsidP="00C844E9">
          <w:pPr>
            <w:pStyle w:val="CF4E9969D9E04CD098CDCA53C03747DF"/>
          </w:pPr>
          <w:r w:rsidRPr="00027567">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altName w:val="Segoe UI"/>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0F4"/>
    <w:rsid w:val="000160C9"/>
    <w:rsid w:val="000B251E"/>
    <w:rsid w:val="00102E15"/>
    <w:rsid w:val="00113D69"/>
    <w:rsid w:val="00127841"/>
    <w:rsid w:val="00130BD1"/>
    <w:rsid w:val="00133A55"/>
    <w:rsid w:val="00133BA9"/>
    <w:rsid w:val="00146F2F"/>
    <w:rsid w:val="0018229E"/>
    <w:rsid w:val="001A0ADE"/>
    <w:rsid w:val="001C184D"/>
    <w:rsid w:val="001C3365"/>
    <w:rsid w:val="001E3EF5"/>
    <w:rsid w:val="001F2ECA"/>
    <w:rsid w:val="00224F65"/>
    <w:rsid w:val="00246BE5"/>
    <w:rsid w:val="00270DAE"/>
    <w:rsid w:val="002956AA"/>
    <w:rsid w:val="002E5ECA"/>
    <w:rsid w:val="002F7443"/>
    <w:rsid w:val="00307A4D"/>
    <w:rsid w:val="00310623"/>
    <w:rsid w:val="00320EBB"/>
    <w:rsid w:val="003374C5"/>
    <w:rsid w:val="0038417B"/>
    <w:rsid w:val="003D4985"/>
    <w:rsid w:val="00405AF3"/>
    <w:rsid w:val="00407FF0"/>
    <w:rsid w:val="00420471"/>
    <w:rsid w:val="0043742E"/>
    <w:rsid w:val="00440C1C"/>
    <w:rsid w:val="00461CB1"/>
    <w:rsid w:val="00484448"/>
    <w:rsid w:val="004A3E63"/>
    <w:rsid w:val="004B59C9"/>
    <w:rsid w:val="004D2553"/>
    <w:rsid w:val="004E6938"/>
    <w:rsid w:val="004F480D"/>
    <w:rsid w:val="005726FB"/>
    <w:rsid w:val="00583961"/>
    <w:rsid w:val="005A4003"/>
    <w:rsid w:val="005C387A"/>
    <w:rsid w:val="005E3F41"/>
    <w:rsid w:val="005E4BE1"/>
    <w:rsid w:val="005F0DA9"/>
    <w:rsid w:val="00606C5E"/>
    <w:rsid w:val="006476FB"/>
    <w:rsid w:val="006A0C8E"/>
    <w:rsid w:val="006D4CA1"/>
    <w:rsid w:val="007040F4"/>
    <w:rsid w:val="00713F05"/>
    <w:rsid w:val="00754C08"/>
    <w:rsid w:val="0076526A"/>
    <w:rsid w:val="00766594"/>
    <w:rsid w:val="007911DC"/>
    <w:rsid w:val="007B34C6"/>
    <w:rsid w:val="007B6622"/>
    <w:rsid w:val="007D3340"/>
    <w:rsid w:val="007D4949"/>
    <w:rsid w:val="00807584"/>
    <w:rsid w:val="008769CF"/>
    <w:rsid w:val="008E5B53"/>
    <w:rsid w:val="00922D21"/>
    <w:rsid w:val="009341D3"/>
    <w:rsid w:val="00943B68"/>
    <w:rsid w:val="0095687F"/>
    <w:rsid w:val="00957559"/>
    <w:rsid w:val="009924A0"/>
    <w:rsid w:val="009A19E9"/>
    <w:rsid w:val="009B5239"/>
    <w:rsid w:val="00A34976"/>
    <w:rsid w:val="00A35E22"/>
    <w:rsid w:val="00A53C88"/>
    <w:rsid w:val="00A64EBD"/>
    <w:rsid w:val="00AA3803"/>
    <w:rsid w:val="00AA7E46"/>
    <w:rsid w:val="00B03EF9"/>
    <w:rsid w:val="00B567F6"/>
    <w:rsid w:val="00B65BC7"/>
    <w:rsid w:val="00B7019B"/>
    <w:rsid w:val="00B81FDC"/>
    <w:rsid w:val="00B8378B"/>
    <w:rsid w:val="00BD54E9"/>
    <w:rsid w:val="00C36576"/>
    <w:rsid w:val="00C370EE"/>
    <w:rsid w:val="00C46643"/>
    <w:rsid w:val="00C67932"/>
    <w:rsid w:val="00C844E9"/>
    <w:rsid w:val="00D021EE"/>
    <w:rsid w:val="00D21E08"/>
    <w:rsid w:val="00D472B5"/>
    <w:rsid w:val="00DB60E5"/>
    <w:rsid w:val="00E05F3C"/>
    <w:rsid w:val="00E31766"/>
    <w:rsid w:val="00E371F0"/>
    <w:rsid w:val="00E62313"/>
    <w:rsid w:val="00EA0771"/>
    <w:rsid w:val="00EB3AD9"/>
    <w:rsid w:val="00F013F2"/>
    <w:rsid w:val="00F0141A"/>
    <w:rsid w:val="00F61406"/>
    <w:rsid w:val="00F62F88"/>
    <w:rsid w:val="00FA6480"/>
    <w:rsid w:val="00FF5E7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4E9"/>
    <w:rPr>
      <w:color w:val="808080"/>
    </w:rPr>
  </w:style>
  <w:style w:type="paragraph" w:customStyle="1" w:styleId="30245013348149EFA939FDA63AEF2452">
    <w:name w:val="30245013348149EFA939FDA63AEF2452"/>
    <w:rsid w:val="007040F4"/>
  </w:style>
  <w:style w:type="paragraph" w:customStyle="1" w:styleId="8828C444EC2E4DE5BD63EDF534C2DF9B">
    <w:name w:val="8828C444EC2E4DE5BD63EDF534C2DF9B"/>
    <w:rsid w:val="007040F4"/>
  </w:style>
  <w:style w:type="paragraph" w:customStyle="1" w:styleId="37955DB7ECC84CE9B7073FBCCC9511A4">
    <w:name w:val="37955DB7ECC84CE9B7073FBCCC9511A4"/>
    <w:rsid w:val="007040F4"/>
  </w:style>
  <w:style w:type="paragraph" w:customStyle="1" w:styleId="317DA2970BDF476382D50F6DA3FA6B6B">
    <w:name w:val="317DA2970BDF476382D50F6DA3FA6B6B"/>
    <w:rsid w:val="007040F4"/>
  </w:style>
  <w:style w:type="paragraph" w:customStyle="1" w:styleId="28FC219C28484544A85299A0A7188F87">
    <w:name w:val="28FC219C28484544A85299A0A7188F87"/>
    <w:rsid w:val="007040F4"/>
  </w:style>
  <w:style w:type="paragraph" w:customStyle="1" w:styleId="2B9720ACF4104E8A8F6A703649525BDC">
    <w:name w:val="2B9720ACF4104E8A8F6A703649525BDC"/>
    <w:rsid w:val="007040F4"/>
  </w:style>
  <w:style w:type="paragraph" w:customStyle="1" w:styleId="D13643EB42B3447A9C44DE349119E5CC">
    <w:name w:val="D13643EB42B3447A9C44DE349119E5CC"/>
    <w:rsid w:val="007040F4"/>
  </w:style>
  <w:style w:type="paragraph" w:customStyle="1" w:styleId="CF4E9969D9E04CD098CDCA53C03747DF">
    <w:name w:val="CF4E9969D9E04CD098CDCA53C03747DF"/>
    <w:rsid w:val="00C844E9"/>
  </w:style>
  <w:style w:type="paragraph" w:customStyle="1" w:styleId="EC0DFEBDBFBA42088F782C13DF5A2FC3">
    <w:name w:val="EC0DFEBDBFBA42088F782C13DF5A2FC3"/>
    <w:rsid w:val="00A34976"/>
  </w:style>
  <w:style w:type="paragraph" w:customStyle="1" w:styleId="961C4EEBBA77439787B9D9421C95B817">
    <w:name w:val="961C4EEBBA77439787B9D9421C95B817"/>
    <w:rsid w:val="00A34976"/>
  </w:style>
  <w:style w:type="paragraph" w:customStyle="1" w:styleId="7343AB19A1C64E819FCC71571EBD1F93">
    <w:name w:val="7343AB19A1C64E819FCC71571EBD1F93"/>
    <w:rsid w:val="00A3497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4E9"/>
    <w:rPr>
      <w:color w:val="808080"/>
    </w:rPr>
  </w:style>
  <w:style w:type="paragraph" w:customStyle="1" w:styleId="30245013348149EFA939FDA63AEF2452">
    <w:name w:val="30245013348149EFA939FDA63AEF2452"/>
    <w:rsid w:val="007040F4"/>
  </w:style>
  <w:style w:type="paragraph" w:customStyle="1" w:styleId="8828C444EC2E4DE5BD63EDF534C2DF9B">
    <w:name w:val="8828C444EC2E4DE5BD63EDF534C2DF9B"/>
    <w:rsid w:val="007040F4"/>
  </w:style>
  <w:style w:type="paragraph" w:customStyle="1" w:styleId="37955DB7ECC84CE9B7073FBCCC9511A4">
    <w:name w:val="37955DB7ECC84CE9B7073FBCCC9511A4"/>
    <w:rsid w:val="007040F4"/>
  </w:style>
  <w:style w:type="paragraph" w:customStyle="1" w:styleId="317DA2970BDF476382D50F6DA3FA6B6B">
    <w:name w:val="317DA2970BDF476382D50F6DA3FA6B6B"/>
    <w:rsid w:val="007040F4"/>
  </w:style>
  <w:style w:type="paragraph" w:customStyle="1" w:styleId="28FC219C28484544A85299A0A7188F87">
    <w:name w:val="28FC219C28484544A85299A0A7188F87"/>
    <w:rsid w:val="007040F4"/>
  </w:style>
  <w:style w:type="paragraph" w:customStyle="1" w:styleId="2B9720ACF4104E8A8F6A703649525BDC">
    <w:name w:val="2B9720ACF4104E8A8F6A703649525BDC"/>
    <w:rsid w:val="007040F4"/>
  </w:style>
  <w:style w:type="paragraph" w:customStyle="1" w:styleId="D13643EB42B3447A9C44DE349119E5CC">
    <w:name w:val="D13643EB42B3447A9C44DE349119E5CC"/>
    <w:rsid w:val="007040F4"/>
  </w:style>
  <w:style w:type="paragraph" w:customStyle="1" w:styleId="CF4E9969D9E04CD098CDCA53C03747DF">
    <w:name w:val="CF4E9969D9E04CD098CDCA53C03747DF"/>
    <w:rsid w:val="00C844E9"/>
  </w:style>
  <w:style w:type="paragraph" w:customStyle="1" w:styleId="EC0DFEBDBFBA42088F782C13DF5A2FC3">
    <w:name w:val="EC0DFEBDBFBA42088F782C13DF5A2FC3"/>
    <w:rsid w:val="00A34976"/>
  </w:style>
  <w:style w:type="paragraph" w:customStyle="1" w:styleId="961C4EEBBA77439787B9D9421C95B817">
    <w:name w:val="961C4EEBBA77439787B9D9421C95B817"/>
    <w:rsid w:val="00A34976"/>
  </w:style>
  <w:style w:type="paragraph" w:customStyle="1" w:styleId="7343AB19A1C64E819FCC71571EBD1F93">
    <w:name w:val="7343AB19A1C64E819FCC71571EBD1F93"/>
    <w:rsid w:val="00A349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834FB7-F9F7-4795-9174-CCDEFD18A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11444</Words>
  <Characters>61342</Characters>
  <Application>Microsoft Office Word</Application>
  <DocSecurity>4</DocSecurity>
  <Lines>1179</Lines>
  <Paragraphs>661</Paragraphs>
  <ScaleCrop>false</ScaleCrop>
  <HeadingPairs>
    <vt:vector size="2" baseType="variant">
      <vt:variant>
        <vt:lpstr>Title</vt:lpstr>
      </vt:variant>
      <vt:variant>
        <vt:i4>1</vt:i4>
      </vt:variant>
    </vt:vector>
  </HeadingPairs>
  <TitlesOfParts>
    <vt:vector size="1" baseType="lpstr">
      <vt:lpstr>Actuarial Function Supplementary Report for the assessment of the Part VII transfer</vt:lpstr>
    </vt:vector>
  </TitlesOfParts>
  <Company/>
  <LinksUpToDate>false</LinksUpToDate>
  <CharactersWithSpaces>72125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Actuarial Function Supplementary Report for the assessment of the Part VII transfer</dc:title>
  <dc:subject/>
  <dc:creator>Gladys Jana</dc:creator>
  <cp:keywords/>
  <dc:description/>
  <cp:lastModifiedBy>Pinsent Masons</cp:lastModifiedBy>
  <cp:revision>2</cp:revision>
  <cp:lastPrinted>2020-10-06T08:09:00Z</cp:lastPrinted>
  <dcterms:created xsi:type="dcterms:W3CDTF">2020-10-09T15:57:00Z</dcterms:created>
  <dcterms:modified xsi:type="dcterms:W3CDTF">2020-10-09T15:57:00Z</dcterms:modified>
</cp:coreProperties>
</file>